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olor w:val="000000"/>
          <w:sz w:val="36"/>
          <w:szCs w:val="36"/>
        </w:rPr>
      </w:pPr>
      <w:r>
        <w:rPr>
          <w:rFonts w:hint="eastAsia" w:ascii="黑体" w:hAnsi="黑体" w:eastAsia="黑体" w:cs="黑体"/>
          <w:color w:val="000000"/>
        </w:rPr>
        <w:t>安徽省地方标准编制说明</w:t>
      </w:r>
    </w:p>
    <w:tbl>
      <w:tblPr>
        <w:tblStyle w:val="10"/>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7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vAlign w:val="center"/>
          </w:tcPr>
          <w:p>
            <w:pPr>
              <w:pStyle w:val="14"/>
              <w:adjustRightInd w:val="0"/>
              <w:spacing w:line="360" w:lineRule="auto"/>
              <w:ind w:firstLine="0" w:firstLineChars="0"/>
              <w:contextualSpacing/>
              <w:jc w:val="center"/>
              <w:rPr>
                <w:rFonts w:hAnsi="宋体"/>
                <w:color w:val="auto"/>
                <w:szCs w:val="21"/>
              </w:rPr>
            </w:pPr>
            <w:r>
              <w:rPr>
                <w:rFonts w:hint="eastAsia" w:hAnsi="宋体"/>
                <w:color w:val="auto"/>
                <w:szCs w:val="21"/>
              </w:rPr>
              <w:t>标准名称</w:t>
            </w:r>
          </w:p>
        </w:tc>
        <w:tc>
          <w:tcPr>
            <w:tcW w:w="7945" w:type="dxa"/>
            <w:vAlign w:val="center"/>
          </w:tcPr>
          <w:p>
            <w:pPr>
              <w:pStyle w:val="14"/>
              <w:adjustRightInd w:val="0"/>
              <w:spacing w:line="360" w:lineRule="auto"/>
              <w:ind w:firstLine="210" w:firstLineChars="100"/>
              <w:contextualSpacing/>
              <w:rPr>
                <w:rFonts w:hAnsi="宋体"/>
                <w:color w:val="auto"/>
                <w:szCs w:val="21"/>
                <w:u w:val="none"/>
              </w:rPr>
            </w:pPr>
            <w:r>
              <w:rPr>
                <w:rFonts w:hint="eastAsia" w:hAnsi="宋体" w:cs="宋体"/>
                <w:color w:val="auto"/>
                <w:szCs w:val="21"/>
                <w:u w:val="none"/>
              </w:rPr>
              <w:t>建筑碳排放计算标准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vAlign w:val="center"/>
          </w:tcPr>
          <w:p>
            <w:pPr>
              <w:pStyle w:val="14"/>
              <w:adjustRightInd w:val="0"/>
              <w:spacing w:line="360" w:lineRule="auto"/>
              <w:ind w:firstLine="0" w:firstLineChars="0"/>
              <w:contextualSpacing/>
              <w:jc w:val="center"/>
              <w:rPr>
                <w:rFonts w:hAnsi="宋体"/>
                <w:color w:val="auto"/>
                <w:szCs w:val="21"/>
              </w:rPr>
            </w:pPr>
            <w:r>
              <w:rPr>
                <w:rFonts w:hint="eastAsia" w:hAnsi="宋体"/>
                <w:color w:val="auto"/>
                <w:szCs w:val="21"/>
              </w:rPr>
              <w:t>任务来源</w:t>
            </w:r>
          </w:p>
          <w:p>
            <w:pPr>
              <w:pStyle w:val="14"/>
              <w:adjustRightInd w:val="0"/>
              <w:spacing w:line="360" w:lineRule="auto"/>
              <w:ind w:firstLine="0" w:firstLineChars="0"/>
              <w:contextualSpacing/>
              <w:jc w:val="center"/>
              <w:rPr>
                <w:rFonts w:hAnsi="宋体"/>
                <w:color w:val="auto"/>
                <w:szCs w:val="21"/>
              </w:rPr>
            </w:pPr>
            <w:r>
              <w:rPr>
                <w:rFonts w:hint="eastAsia" w:hAnsi="宋体"/>
                <w:color w:val="auto"/>
                <w:szCs w:val="21"/>
              </w:rPr>
              <w:t>（项目计划号）</w:t>
            </w:r>
          </w:p>
        </w:tc>
        <w:tc>
          <w:tcPr>
            <w:tcW w:w="7945" w:type="dxa"/>
            <w:vAlign w:val="center"/>
          </w:tcPr>
          <w:p>
            <w:pPr>
              <w:pStyle w:val="14"/>
              <w:adjustRightInd w:val="0"/>
              <w:spacing w:line="360" w:lineRule="auto"/>
              <w:ind w:firstLine="0" w:firstLineChars="0"/>
              <w:contextualSpacing/>
              <w:rPr>
                <w:rFonts w:hAnsi="宋体"/>
                <w:color w:val="auto"/>
                <w:szCs w:val="21"/>
                <w:u w:val="none"/>
              </w:rPr>
            </w:pPr>
            <w:r>
              <w:rPr>
                <w:rFonts w:hint="eastAsia" w:hAnsi="宋体"/>
                <w:color w:val="auto"/>
                <w:szCs w:val="21"/>
                <w:u w:val="none"/>
              </w:rPr>
              <w:t>《安徽省市场监督管理局关于下达2022年第二批安徽省地方标准制修订计划的通知》（皖市监函〔2022〕550号），项目计划号：2022-2-126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vAlign w:val="center"/>
          </w:tcPr>
          <w:p>
            <w:pPr>
              <w:pStyle w:val="14"/>
              <w:adjustRightInd w:val="0"/>
              <w:spacing w:line="360" w:lineRule="auto"/>
              <w:ind w:firstLine="0" w:firstLineChars="0"/>
              <w:contextualSpacing/>
              <w:jc w:val="center"/>
              <w:rPr>
                <w:rFonts w:hAnsi="宋体"/>
                <w:color w:val="auto"/>
                <w:szCs w:val="21"/>
              </w:rPr>
            </w:pPr>
            <w:r>
              <w:rPr>
                <w:rFonts w:hint="eastAsia" w:hAnsi="宋体"/>
                <w:color w:val="auto"/>
                <w:szCs w:val="21"/>
              </w:rPr>
              <w:t>第一起草单位</w:t>
            </w:r>
          </w:p>
        </w:tc>
        <w:tc>
          <w:tcPr>
            <w:tcW w:w="7945" w:type="dxa"/>
            <w:vAlign w:val="center"/>
          </w:tcPr>
          <w:p>
            <w:pPr>
              <w:pStyle w:val="14"/>
              <w:adjustRightInd w:val="0"/>
              <w:spacing w:line="360" w:lineRule="auto"/>
              <w:ind w:firstLine="0" w:firstLineChars="0"/>
              <w:contextualSpacing/>
              <w:rPr>
                <w:rFonts w:hAnsi="宋体"/>
                <w:color w:val="auto"/>
                <w:szCs w:val="21"/>
                <w:u w:val="none"/>
              </w:rPr>
            </w:pPr>
            <w:r>
              <w:rPr>
                <w:rFonts w:hint="eastAsia" w:hAnsi="宋体" w:cs="宋体"/>
                <w:color w:val="auto"/>
                <w:szCs w:val="21"/>
                <w:u w:val="none"/>
              </w:rPr>
              <w:t>安徽省建筑科学研究设计院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vAlign w:val="center"/>
          </w:tcPr>
          <w:p>
            <w:pPr>
              <w:pStyle w:val="14"/>
              <w:adjustRightInd w:val="0"/>
              <w:spacing w:line="360" w:lineRule="auto"/>
              <w:ind w:firstLine="0" w:firstLineChars="0"/>
              <w:contextualSpacing/>
              <w:jc w:val="center"/>
              <w:rPr>
                <w:rFonts w:hAnsi="宋体"/>
                <w:color w:val="auto"/>
                <w:szCs w:val="21"/>
              </w:rPr>
            </w:pPr>
            <w:r>
              <w:rPr>
                <w:rFonts w:hint="eastAsia" w:hAnsi="宋体"/>
                <w:color w:val="auto"/>
                <w:szCs w:val="21"/>
              </w:rPr>
              <w:t>单位地址</w:t>
            </w:r>
          </w:p>
        </w:tc>
        <w:tc>
          <w:tcPr>
            <w:tcW w:w="7945" w:type="dxa"/>
            <w:vAlign w:val="center"/>
          </w:tcPr>
          <w:p>
            <w:pPr>
              <w:pStyle w:val="14"/>
              <w:adjustRightInd w:val="0"/>
              <w:spacing w:line="360" w:lineRule="auto"/>
              <w:ind w:firstLine="0" w:firstLineChars="0"/>
              <w:contextualSpacing/>
              <w:rPr>
                <w:rFonts w:hAnsi="宋体"/>
                <w:color w:val="auto"/>
                <w:szCs w:val="21"/>
                <w:u w:val="none"/>
              </w:rPr>
            </w:pPr>
            <w:r>
              <w:rPr>
                <w:rFonts w:hint="eastAsia" w:hAnsi="宋体" w:cs="宋体"/>
                <w:color w:val="auto"/>
                <w:szCs w:val="21"/>
                <w:u w:val="none"/>
              </w:rPr>
              <w:t>安徽省合肥市蜀山区567号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vAlign w:val="center"/>
          </w:tcPr>
          <w:p>
            <w:pPr>
              <w:pStyle w:val="14"/>
              <w:adjustRightInd w:val="0"/>
              <w:spacing w:line="360" w:lineRule="auto"/>
              <w:ind w:firstLine="0" w:firstLineChars="0"/>
              <w:contextualSpacing/>
              <w:jc w:val="center"/>
              <w:rPr>
                <w:rFonts w:hAnsi="宋体"/>
                <w:color w:val="auto"/>
                <w:szCs w:val="21"/>
              </w:rPr>
            </w:pPr>
            <w:r>
              <w:rPr>
                <w:rFonts w:hint="eastAsia" w:hAnsi="宋体"/>
                <w:color w:val="auto"/>
                <w:szCs w:val="21"/>
              </w:rPr>
              <w:t>参与起草单位</w:t>
            </w:r>
          </w:p>
        </w:tc>
        <w:tc>
          <w:tcPr>
            <w:tcW w:w="7945" w:type="dxa"/>
            <w:vAlign w:val="center"/>
          </w:tcPr>
          <w:p>
            <w:pPr>
              <w:autoSpaceDE w:val="0"/>
              <w:autoSpaceDN w:val="0"/>
              <w:adjustRightInd w:val="0"/>
              <w:spacing w:line="360" w:lineRule="auto"/>
              <w:jc w:val="left"/>
              <w:rPr>
                <w:rFonts w:ascii="宋体" w:hAnsi="宋体"/>
                <w:color w:val="auto"/>
              </w:rPr>
            </w:pPr>
            <w:r>
              <w:rPr>
                <w:rFonts w:hint="eastAsia" w:ascii="宋体" w:hAnsi="宋体"/>
                <w:color w:val="auto"/>
              </w:rPr>
              <w:t>安徽省住房和城乡建设厅建筑节能科技处、安徽省建筑节能与科技协会、安徽建工三建集团有限公司</w:t>
            </w:r>
            <w:r>
              <w:rPr>
                <w:rFonts w:hint="eastAsia" w:ascii="宋体" w:hAnsi="宋体"/>
                <w:color w:val="auto"/>
                <w:lang w:eastAsia="zh-CN"/>
              </w:rPr>
              <w:t>、</w:t>
            </w:r>
            <w:r>
              <w:rPr>
                <w:rFonts w:hint="eastAsia" w:ascii="宋体" w:hAnsi="宋体"/>
                <w:color w:val="auto"/>
              </w:rPr>
              <w:t>华中科技大学</w:t>
            </w:r>
            <w:r>
              <w:rPr>
                <w:rFonts w:hint="eastAsia" w:ascii="宋体" w:hAnsi="宋体"/>
                <w:color w:val="auto"/>
                <w:lang w:eastAsia="zh-CN"/>
              </w:rPr>
              <w:t>、</w:t>
            </w:r>
            <w:r>
              <w:rPr>
                <w:rFonts w:hint="eastAsia" w:ascii="宋体" w:hAnsi="宋体"/>
                <w:color w:val="auto"/>
              </w:rPr>
              <w:t>深圳市中宏低碳建筑科技有限公司</w:t>
            </w:r>
            <w:r>
              <w:rPr>
                <w:rFonts w:hint="eastAsia" w:ascii="宋体" w:hAnsi="宋体"/>
                <w:color w:val="auto"/>
                <w:lang w:eastAsia="zh-CN"/>
              </w:rPr>
              <w:t>、</w:t>
            </w:r>
            <w:r>
              <w:rPr>
                <w:rFonts w:hint="eastAsia" w:ascii="宋体" w:hAnsi="宋体"/>
                <w:color w:val="auto"/>
              </w:rPr>
              <w:t>滁州市明湖建设管理服务中心</w:t>
            </w:r>
            <w:r>
              <w:rPr>
                <w:rFonts w:hint="eastAsia" w:ascii="宋体" w:hAnsi="宋体"/>
                <w:color w:val="auto"/>
                <w:lang w:eastAsia="zh-CN"/>
              </w:rPr>
              <w:t>、</w:t>
            </w:r>
            <w:r>
              <w:rPr>
                <w:rFonts w:hint="eastAsia" w:ascii="宋体" w:hAnsi="宋体"/>
                <w:color w:val="auto"/>
              </w:rPr>
              <w:t>黄山市建设工程质量监督检测中心有限公司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4"/>
              <w:adjustRightInd w:val="0"/>
              <w:spacing w:line="360" w:lineRule="auto"/>
              <w:ind w:firstLine="0" w:firstLineChars="0"/>
              <w:contextualSpacing/>
              <w:jc w:val="center"/>
              <w:rPr>
                <w:rFonts w:hAnsi="宋体"/>
                <w:color w:val="auto"/>
                <w:szCs w:val="21"/>
              </w:rPr>
            </w:pPr>
            <w:r>
              <w:rPr>
                <w:rFonts w:hint="eastAsia" w:hAnsi="宋体"/>
                <w:b/>
                <w:bCs/>
                <w:color w:val="auto"/>
                <w:szCs w:val="21"/>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4"/>
              <w:adjustRightInd w:val="0"/>
              <w:spacing w:line="360" w:lineRule="auto"/>
              <w:ind w:firstLine="0" w:firstLineChars="0"/>
              <w:contextualSpacing/>
              <w:rPr>
                <w:rFonts w:hAnsi="宋体"/>
                <w:color w:val="auto"/>
                <w:szCs w:val="21"/>
              </w:rPr>
            </w:pPr>
            <w:r>
              <w:rPr>
                <w:rFonts w:hint="eastAsia" w:hAnsi="宋体"/>
                <w:b/>
                <w:bCs/>
                <w:color w:val="auto"/>
                <w:szCs w:val="21"/>
              </w:rPr>
              <w:t>1、编制过程简介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4"/>
              <w:adjustRightInd w:val="0"/>
              <w:spacing w:line="360" w:lineRule="auto"/>
              <w:contextualSpacing/>
              <w:rPr>
                <w:rFonts w:hAnsi="宋体"/>
                <w:color w:val="auto"/>
              </w:rPr>
            </w:pPr>
            <w:r>
              <w:rPr>
                <w:rFonts w:hint="eastAsia"/>
                <w:color w:val="auto"/>
                <w:szCs w:val="21"/>
              </w:rPr>
              <w:t>2023年3月17日，召开</w:t>
            </w:r>
            <w:r>
              <w:rPr>
                <w:rFonts w:hint="eastAsia" w:hAnsi="宋体"/>
                <w:color w:val="auto"/>
              </w:rPr>
              <w:t>大纲编制专家讨论会；</w:t>
            </w:r>
          </w:p>
          <w:p>
            <w:pPr>
              <w:pStyle w:val="14"/>
              <w:adjustRightInd w:val="0"/>
              <w:spacing w:line="360" w:lineRule="auto"/>
              <w:contextualSpacing/>
              <w:rPr>
                <w:color w:val="auto"/>
              </w:rPr>
            </w:pPr>
            <w:r>
              <w:rPr>
                <w:rFonts w:hint="eastAsia" w:hAnsi="宋体"/>
                <w:color w:val="auto"/>
              </w:rPr>
              <w:t>2</w:t>
            </w:r>
            <w:r>
              <w:rPr>
                <w:rFonts w:hAnsi="宋体"/>
                <w:color w:val="auto"/>
              </w:rPr>
              <w:t>02</w:t>
            </w:r>
            <w:r>
              <w:rPr>
                <w:rFonts w:hint="eastAsia" w:hAnsi="宋体"/>
                <w:color w:val="auto"/>
              </w:rPr>
              <w:t>3年5月8日，</w:t>
            </w:r>
            <w:r>
              <w:rPr>
                <w:rFonts w:hint="eastAsia"/>
                <w:color w:val="auto"/>
                <w:szCs w:val="21"/>
              </w:rPr>
              <w:t>召开</w:t>
            </w:r>
            <w:r>
              <w:rPr>
                <w:rFonts w:hint="eastAsia"/>
                <w:color w:val="auto"/>
              </w:rPr>
              <w:t>主、参编单位全体会议，全体编制组成员共同讨论项目进程、项目计划安排及项目大纲初步成果等，</w:t>
            </w:r>
            <w:r>
              <w:rPr>
                <w:rFonts w:hint="eastAsia" w:hAnsi="宋体"/>
                <w:color w:val="auto"/>
              </w:rPr>
              <w:t>形成标准草案</w:t>
            </w:r>
            <w:r>
              <w:rPr>
                <w:rFonts w:hint="eastAsia"/>
                <w:color w:val="auto"/>
              </w:rPr>
              <w:t>；</w:t>
            </w:r>
          </w:p>
          <w:p>
            <w:pPr>
              <w:pStyle w:val="14"/>
              <w:adjustRightInd w:val="0"/>
              <w:spacing w:line="360" w:lineRule="auto"/>
              <w:contextualSpacing/>
              <w:rPr>
                <w:color w:val="auto"/>
              </w:rPr>
            </w:pPr>
            <w:r>
              <w:rPr>
                <w:rFonts w:hint="eastAsia"/>
                <w:color w:val="auto"/>
              </w:rPr>
              <w:t>2</w:t>
            </w:r>
            <w:r>
              <w:rPr>
                <w:color w:val="auto"/>
              </w:rPr>
              <w:t>02</w:t>
            </w:r>
            <w:r>
              <w:rPr>
                <w:rFonts w:hint="eastAsia"/>
                <w:color w:val="auto"/>
                <w:lang w:val="en-US" w:eastAsia="zh-CN"/>
              </w:rPr>
              <w:t>3</w:t>
            </w:r>
            <w:r>
              <w:rPr>
                <w:rFonts w:hint="eastAsia"/>
                <w:color w:val="auto"/>
              </w:rPr>
              <w:t>年9月15日，</w:t>
            </w:r>
            <w:r>
              <w:rPr>
                <w:rFonts w:hint="eastAsia"/>
                <w:color w:val="auto"/>
                <w:szCs w:val="21"/>
              </w:rPr>
              <w:t>召开</w:t>
            </w:r>
            <w:r>
              <w:rPr>
                <w:rFonts w:hint="eastAsia" w:hAnsi="宋体"/>
                <w:color w:val="auto"/>
              </w:rPr>
              <w:t>编制组讨论会，形成标准草案；</w:t>
            </w:r>
          </w:p>
          <w:p>
            <w:pPr>
              <w:pStyle w:val="14"/>
              <w:adjustRightInd w:val="0"/>
              <w:spacing w:line="360" w:lineRule="auto"/>
              <w:contextualSpacing/>
              <w:rPr>
                <w:color w:val="auto"/>
              </w:rPr>
            </w:pPr>
            <w:r>
              <w:rPr>
                <w:rFonts w:hint="eastAsia"/>
                <w:color w:val="auto"/>
              </w:rPr>
              <w:t>2</w:t>
            </w:r>
            <w:r>
              <w:rPr>
                <w:color w:val="auto"/>
              </w:rPr>
              <w:t>02</w:t>
            </w:r>
            <w:r>
              <w:rPr>
                <w:rFonts w:hint="eastAsia"/>
                <w:color w:val="auto"/>
              </w:rPr>
              <w:t>3年10月25日，</w:t>
            </w:r>
            <w:r>
              <w:rPr>
                <w:rFonts w:hint="eastAsia" w:hAnsi="宋体"/>
                <w:color w:val="auto"/>
              </w:rPr>
              <w:t>召开</w:t>
            </w:r>
            <w:r>
              <w:rPr>
                <w:rFonts w:hint="eastAsia"/>
                <w:color w:val="auto"/>
              </w:rPr>
              <w:t>草案</w:t>
            </w:r>
            <w:r>
              <w:rPr>
                <w:rFonts w:hint="eastAsia" w:hAnsi="宋体"/>
                <w:color w:val="auto"/>
              </w:rPr>
              <w:t>专家论证会，</w:t>
            </w:r>
            <w:r>
              <w:rPr>
                <w:rFonts w:hint="eastAsia"/>
                <w:color w:val="auto"/>
              </w:rPr>
              <w:t>会议邀请相关专家共同探讨标准草案成果，</w:t>
            </w:r>
            <w:r>
              <w:rPr>
                <w:rFonts w:hint="eastAsia" w:hAnsi="宋体" w:cs="宋体"/>
                <w:color w:val="auto"/>
                <w:szCs w:val="21"/>
              </w:rPr>
              <w:t>经充分讨论，同意初稿通过论证，修改完善后形成征求意见稿。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4"/>
              <w:adjustRightInd w:val="0"/>
              <w:spacing w:line="360" w:lineRule="auto"/>
              <w:ind w:firstLine="0" w:firstLineChars="0"/>
              <w:contextualSpacing/>
              <w:rPr>
                <w:rFonts w:hAnsi="宋体"/>
                <w:color w:val="auto"/>
                <w:szCs w:val="21"/>
              </w:rPr>
            </w:pPr>
            <w:r>
              <w:rPr>
                <w:rFonts w:hint="eastAsia" w:hAnsi="宋体"/>
                <w:b/>
                <w:bCs/>
                <w:color w:val="auto"/>
                <w:szCs w:val="21"/>
              </w:rPr>
              <w:t>2、制定标准的必要性和意义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ind w:firstLine="420" w:firstLineChars="200"/>
              <w:rPr>
                <w:color w:val="auto"/>
              </w:rPr>
            </w:pPr>
            <w:r>
              <w:rPr>
                <w:rFonts w:hint="eastAsia"/>
                <w:color w:val="auto"/>
              </w:rPr>
              <w:t>随着我国城镇化进程的不断深入和人民生活水平的日益提高，建筑能耗不断攀升。提升建筑能效，降低建筑能耗，发展清洁能源、可再生能源在建筑中的应用技术是未来建筑领域低碳减排的必要途径，也将是我国实现碳减排</w:t>
            </w:r>
            <w:bookmarkStart w:id="30" w:name="_GoBack"/>
            <w:bookmarkEnd w:id="30"/>
            <w:r>
              <w:rPr>
                <w:rFonts w:hint="eastAsia"/>
                <w:color w:val="auto"/>
              </w:rPr>
              <w:t>目标的重要手段。</w:t>
            </w:r>
          </w:p>
          <w:p>
            <w:pPr>
              <w:ind w:firstLine="420" w:firstLineChars="200"/>
              <w:rPr>
                <w:color w:val="auto"/>
              </w:rPr>
            </w:pPr>
            <w:r>
              <w:rPr>
                <w:rFonts w:hint="eastAsia"/>
                <w:color w:val="auto"/>
              </w:rPr>
              <w:t>1、规范建筑碳排放计算，为双碳工作提供技术支撑</w:t>
            </w:r>
          </w:p>
          <w:p>
            <w:pPr>
              <w:ind w:firstLine="420" w:firstLineChars="200"/>
              <w:rPr>
                <w:color w:val="auto"/>
              </w:rPr>
            </w:pPr>
            <w:r>
              <w:rPr>
                <w:rFonts w:hint="eastAsia"/>
                <w:color w:val="auto"/>
              </w:rPr>
              <w:t>通过明确相关计算方法规范建筑碳排放计算，引导建筑物在设计时考虑其建造及拆除、运行阶段的节能减碳，增强建筑企业对碳排放核算、报告、监测、核查的意识，为未来建筑物参与碳排放交易、碳税、碳配额、碳足迹等工作提供技术支撑。</w:t>
            </w:r>
          </w:p>
          <w:p>
            <w:pPr>
              <w:ind w:firstLine="420" w:firstLineChars="200"/>
              <w:rPr>
                <w:color w:val="auto"/>
              </w:rPr>
            </w:pPr>
            <w:r>
              <w:rPr>
                <w:rFonts w:hint="eastAsia"/>
                <w:color w:val="auto"/>
              </w:rPr>
              <w:t>《建筑节能与可再生能源利用通用规范》GB 55015-2021实施后，所有新建、扩建和改建民用建筑以及既有民用建筑节能改造均需进行碳排放计算。同时了解当前碳排放水平、制定碳排放目标、掌握低碳技术的碳排放效果都需要通过碳排放计算，建立建筑碳排放数据库来实现，因此研究出适用于安徽省的碳排放计算方法是非常必要的。</w:t>
            </w:r>
          </w:p>
          <w:p>
            <w:pPr>
              <w:ind w:firstLine="420" w:firstLineChars="200"/>
              <w:rPr>
                <w:color w:val="auto"/>
              </w:rPr>
            </w:pPr>
            <w:r>
              <w:rPr>
                <w:rFonts w:hint="eastAsia"/>
                <w:color w:val="auto"/>
              </w:rPr>
              <w:t>2、明确建筑领域碳排放计算边界，建立适应安徽地区特征的计算方法</w:t>
            </w:r>
          </w:p>
          <w:p>
            <w:pPr>
              <w:ind w:firstLine="420" w:firstLineChars="200"/>
              <w:rPr>
                <w:color w:val="auto"/>
              </w:rPr>
            </w:pPr>
            <w:r>
              <w:rPr>
                <w:rFonts w:hint="eastAsia"/>
                <w:color w:val="auto"/>
              </w:rPr>
              <w:t>依据《国民经济行业分类》</w:t>
            </w:r>
            <w:r>
              <w:rPr>
                <w:color w:val="auto"/>
              </w:rPr>
              <w:t>GB/T 4754</w:t>
            </w:r>
            <w:r>
              <w:rPr>
                <w:rFonts w:hint="eastAsia"/>
                <w:color w:val="auto"/>
              </w:rPr>
              <w:t>，建筑材料生产阶段导致的碳排放属于制造业碳排放，建筑材料运输阶段导致的碳排放属于交通运输业碳排放，为了与城乡建设领域能耗统计边界保持一致，因此地标中建筑碳排放计算仅考虑建筑运行、建造及拆除阶段的碳排放，为后期政府部门做决策提供数据支持。同时国标是2019年发布的，考虑到近年双碳工作的大力推进，大量新技术、新方法、新标准的发布导致国标已不能满足现在的碳排放计算要求，因此制定适应安徽地区特征的碳排放计算方法，可以为安徽省低碳技术的应用及发展提供技术支持，为我省中长期双碳工作提供支撑和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4"/>
              <w:adjustRightInd w:val="0"/>
              <w:spacing w:line="360" w:lineRule="auto"/>
              <w:ind w:firstLine="0" w:firstLineChars="0"/>
              <w:contextualSpacing/>
              <w:rPr>
                <w:rFonts w:hAnsi="宋体"/>
                <w:color w:val="auto"/>
                <w:szCs w:val="21"/>
              </w:rPr>
            </w:pPr>
            <w:r>
              <w:rPr>
                <w:rFonts w:hint="eastAsia" w:hAnsi="宋体"/>
                <w:b/>
                <w:bCs/>
                <w:color w:val="auto"/>
                <w:szCs w:val="21"/>
              </w:rPr>
              <w:t>3、制定标准的原则和依据，与现行法律法规、标准的关系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ind w:firstLine="561"/>
              <w:rPr>
                <w:rFonts w:ascii="宋体" w:hAnsi="宋体"/>
                <w:color w:val="auto"/>
                <w:kern w:val="0"/>
              </w:rPr>
            </w:pPr>
            <w:r>
              <w:rPr>
                <w:rFonts w:hint="eastAsia" w:ascii="宋体" w:hAnsi="宋体"/>
                <w:color w:val="auto"/>
                <w:kern w:val="0"/>
              </w:rPr>
              <w:t>本标准编写过程中始终遵循“统一性、协调性、适用性、一致性、规范性”的原则，符合国家法律法规规定，结合安徽省工程实际，结合了《建筑碳排放计算标准》有关内容、以及行业主管部门关于近零能耗建筑发展的有关要求，规范了我省近零能耗建筑的评价要求，在充分调查研究、紧密结合实践的基础上，本着先进性、科学性、合理性和可操作性原则制定满足市场需求、技术内容完整、可操作性强的标准。与现行法律、法规和标准无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4"/>
              <w:adjustRightInd w:val="0"/>
              <w:spacing w:line="360" w:lineRule="auto"/>
              <w:ind w:firstLine="0" w:firstLineChars="0"/>
              <w:contextualSpacing/>
              <w:rPr>
                <w:rFonts w:hAnsi="宋体"/>
                <w:color w:val="auto"/>
                <w:szCs w:val="21"/>
              </w:rPr>
            </w:pPr>
            <w:r>
              <w:rPr>
                <w:rFonts w:hint="eastAsia" w:hAnsi="宋体"/>
                <w:b/>
                <w:bCs/>
                <w:color w:val="auto"/>
                <w:szCs w:val="21"/>
              </w:rPr>
              <w:t>4、主要条款的说明，主要技术指标、参数、试验验证的论述（详细说明）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ind w:firstLine="420" w:firstLineChars="200"/>
              <w:jc w:val="left"/>
              <w:rPr>
                <w:rFonts w:ascii="宋体" w:hAnsi="宋体"/>
                <w:color w:val="auto"/>
                <w:kern w:val="0"/>
              </w:rPr>
            </w:pPr>
            <w:r>
              <w:rPr>
                <w:rFonts w:hint="eastAsia" w:ascii="宋体" w:hAnsi="宋体"/>
                <w:color w:val="auto"/>
                <w:kern w:val="0"/>
              </w:rPr>
              <w:t>1、明确建筑领域碳排放计算边界</w:t>
            </w:r>
          </w:p>
          <w:p>
            <w:pPr>
              <w:ind w:firstLine="420" w:firstLineChars="200"/>
              <w:jc w:val="left"/>
              <w:rPr>
                <w:rFonts w:hint="eastAsia" w:ascii="宋体" w:hAnsi="宋体"/>
                <w:color w:val="auto"/>
                <w:kern w:val="0"/>
              </w:rPr>
            </w:pPr>
            <w:r>
              <w:rPr>
                <w:rFonts w:hint="eastAsia" w:ascii="宋体" w:hAnsi="宋体"/>
                <w:color w:val="auto"/>
                <w:kern w:val="0"/>
              </w:rPr>
              <w:t>（1）现行国标规定的是建筑全寿命期的碳排放计算。依据《国民经济行业分类》GB/T 4754，建筑材料生产阶段导致的碳排放属于制造业碳排放，建筑材料运输阶段导致的碳排放属于交通运输业碳排放，为了与城乡建设领域能耗统计边界保持一致，因此地标中建筑碳排放计算仅考虑建筑运行、建造及拆除阶段的碳排放。</w:t>
            </w:r>
          </w:p>
          <w:p>
            <w:pPr>
              <w:ind w:firstLine="420" w:firstLineChars="200"/>
              <w:jc w:val="left"/>
              <w:rPr>
                <w:rFonts w:ascii="宋体" w:hAnsi="宋体"/>
                <w:color w:val="auto"/>
                <w:kern w:val="0"/>
              </w:rPr>
            </w:pPr>
            <w:r>
              <w:rPr>
                <w:rFonts w:hint="eastAsia" w:ascii="宋体" w:hAnsi="宋体"/>
                <w:color w:val="auto"/>
                <w:kern w:val="0"/>
              </w:rPr>
              <w:t>（2）现行国标中未考虑装配式建筑的碳排放计算，地标中增加了装配式建造的章节。装配式建筑建造产生的碳排放包含预制构件生产阶段、预制构件运输阶段、预制构件安装阶段。考虑到预制构件的生产和运输都是在工地之外，所以地标中装配式建筑建造产生的碳排放仅计算预制构件安装阶段的碳排放。</w:t>
            </w:r>
          </w:p>
          <w:p>
            <w:pPr>
              <w:ind w:firstLine="420" w:firstLineChars="200"/>
              <w:jc w:val="left"/>
              <w:rPr>
                <w:rFonts w:ascii="宋体" w:hAnsi="宋体"/>
                <w:color w:val="auto"/>
                <w:kern w:val="0"/>
              </w:rPr>
            </w:pPr>
            <w:r>
              <w:rPr>
                <w:rFonts w:hint="eastAsia" w:ascii="宋体" w:hAnsi="宋体"/>
                <w:color w:val="auto"/>
                <w:kern w:val="0"/>
              </w:rPr>
              <w:t>2、增加插座及炊事系统能耗计算方法</w:t>
            </w:r>
          </w:p>
          <w:p>
            <w:pPr>
              <w:ind w:firstLine="420" w:firstLineChars="200"/>
              <w:jc w:val="left"/>
              <w:rPr>
                <w:rFonts w:ascii="宋体" w:hAnsi="宋体"/>
                <w:color w:val="auto"/>
                <w:kern w:val="0"/>
              </w:rPr>
            </w:pPr>
            <w:r>
              <w:rPr>
                <w:rFonts w:hint="eastAsia" w:ascii="宋体" w:hAnsi="宋体"/>
                <w:color w:val="auto"/>
                <w:kern w:val="0"/>
              </w:rPr>
              <w:t xml:space="preserve"> 现行国标中建筑运行阶段碳排放计算范围包括暖通空调、生活热水、照明及电梯、可再生能源在建筑运行期间的碳排放量。这个计算范围内并不包含插座及炊事能耗。但在实际建筑运行过程中，插座及炊事能耗是运行能耗中不可忽略的一项，因此地标中将插座及炊事能耗计入建筑运行能耗中，使计算结果更接近实际情况。插座能耗计算公式来源于《江苏省民用建筑碳排放计算导则》，炊事能耗计算参数来源于</w:t>
            </w:r>
            <w:r>
              <w:rPr>
                <w:rFonts w:ascii="宋体" w:hAnsi="宋体"/>
                <w:color w:val="auto"/>
                <w:kern w:val="0"/>
              </w:rPr>
              <w:t>《全国民用建筑工程设计技术措施》（暖通空调.动力2009）</w:t>
            </w:r>
            <w:r>
              <w:rPr>
                <w:rFonts w:hint="eastAsia" w:ascii="宋体" w:hAnsi="宋体"/>
                <w:color w:val="auto"/>
                <w:kern w:val="0"/>
              </w:rPr>
              <w:t>。</w:t>
            </w:r>
          </w:p>
          <w:p>
            <w:pPr>
              <w:ind w:firstLine="420" w:firstLineChars="200"/>
              <w:jc w:val="left"/>
              <w:rPr>
                <w:rFonts w:ascii="宋体" w:hAnsi="宋体"/>
                <w:color w:val="auto"/>
                <w:kern w:val="0"/>
              </w:rPr>
            </w:pPr>
            <w:r>
              <w:rPr>
                <w:rFonts w:hint="eastAsia" w:ascii="宋体" w:hAnsi="宋体"/>
                <w:color w:val="auto"/>
                <w:kern w:val="0"/>
              </w:rPr>
              <w:t>3、增加降碳量计算方法</w:t>
            </w:r>
          </w:p>
          <w:p>
            <w:pPr>
              <w:ind w:firstLine="420" w:firstLineChars="200"/>
              <w:jc w:val="left"/>
              <w:rPr>
                <w:rFonts w:hint="eastAsia"/>
                <w:color w:val="auto"/>
              </w:rPr>
            </w:pPr>
            <w:r>
              <w:rPr>
                <w:rFonts w:hint="eastAsia" w:ascii="宋体" w:hAnsi="宋体"/>
                <w:color w:val="auto"/>
                <w:kern w:val="0"/>
              </w:rPr>
              <w:t>现行国标中只要碳排放量的计算方法，为了对标</w:t>
            </w:r>
            <w:r>
              <w:rPr>
                <w:rFonts w:hint="eastAsia"/>
                <w:color w:val="auto"/>
              </w:rPr>
              <w:t>《建筑节能与可再生能源利用通用规范》GB 55015-2021中对降碳量的指标要求，地标中提出了建筑降碳量和建筑降碳率的计算方法，同时对基准建筑的设定进行了明确。</w:t>
            </w:r>
          </w:p>
          <w:p>
            <w:pPr>
              <w:ind w:firstLine="420" w:firstLineChars="200"/>
              <w:jc w:val="left"/>
              <w:rPr>
                <w:rFonts w:ascii="宋体" w:hAnsi="宋体"/>
                <w:color w:val="auto"/>
                <w:kern w:val="0"/>
              </w:rPr>
            </w:pPr>
            <w:r>
              <w:rPr>
                <w:rFonts w:hint="eastAsia" w:ascii="宋体" w:hAnsi="宋体"/>
                <w:color w:val="auto"/>
                <w:kern w:val="0"/>
              </w:rPr>
              <w:t>基准建筑暖通空调形式按《近零能耗建筑技术标准》GB/T 51350-2019执行。所以基准建筑的冷热源有冷水机组+燃气锅炉和分体空调两种形式。</w:t>
            </w:r>
          </w:p>
          <w:p>
            <w:pPr>
              <w:ind w:firstLine="420" w:firstLineChars="200"/>
              <w:jc w:val="left"/>
              <w:rPr>
                <w:rFonts w:ascii="宋体" w:hAnsi="宋体"/>
                <w:color w:val="auto"/>
                <w:kern w:val="0"/>
              </w:rPr>
            </w:pPr>
            <w:r>
              <w:rPr>
                <w:rFonts w:hint="eastAsia" w:ascii="宋体" w:hAnsi="宋体"/>
                <w:color w:val="auto"/>
                <w:kern w:val="0"/>
              </w:rPr>
              <w:t>冷水机组COP和锅炉效率均按《公共建筑节能设计标准》GB50189-2015的限值选取。</w:t>
            </w:r>
          </w:p>
          <w:p>
            <w:pPr>
              <w:ind w:firstLine="420" w:firstLineChars="200"/>
              <w:jc w:val="left"/>
              <w:rPr>
                <w:rFonts w:ascii="宋体" w:hAnsi="宋体"/>
                <w:color w:val="auto"/>
                <w:kern w:val="0"/>
              </w:rPr>
            </w:pPr>
            <w:r>
              <w:rPr>
                <w:rFonts w:hint="eastAsia" w:ascii="宋体" w:hAnsi="宋体"/>
                <w:color w:val="auto"/>
                <w:kern w:val="0"/>
              </w:rPr>
              <w:t>分体空调由于《公共建筑节能设计标准》GB50189-2015中无限值要求，所以按2016年执行的《转速可控型房间空气调节器能效限定值及能效等级》GB50189-2015的2级能效APF值选取。</w:t>
            </w:r>
          </w:p>
          <w:p>
            <w:pPr>
              <w:ind w:firstLine="420" w:firstLineChars="200"/>
              <w:jc w:val="left"/>
              <w:rPr>
                <w:rFonts w:ascii="宋体" w:hAnsi="宋体"/>
                <w:color w:val="auto"/>
                <w:kern w:val="0"/>
              </w:rPr>
            </w:pPr>
            <w:r>
              <w:rPr>
                <w:rFonts w:hint="eastAsia" w:ascii="宋体" w:hAnsi="宋体"/>
                <w:color w:val="auto"/>
                <w:kern w:val="0"/>
              </w:rPr>
              <w:t>基准建筑照明功率密度值依据2016年执行的《公共建筑节能设计标准》GB50189-2015规定，照明功率密度限值应符合《建筑照明设计标准》GB50034-2013规定的现行值。</w:t>
            </w:r>
          </w:p>
          <w:p>
            <w:pPr>
              <w:ind w:firstLine="420" w:firstLineChars="200"/>
              <w:jc w:val="left"/>
              <w:rPr>
                <w:rFonts w:ascii="宋体" w:hAnsi="宋体"/>
                <w:color w:val="auto"/>
                <w:kern w:val="0"/>
              </w:rPr>
            </w:pPr>
            <w:r>
              <w:rPr>
                <w:rFonts w:hint="eastAsia" w:ascii="宋体" w:hAnsi="宋体"/>
                <w:color w:val="auto"/>
                <w:kern w:val="0"/>
              </w:rPr>
              <w:t>4、增加装配式建造的碳排放计算方法</w:t>
            </w:r>
          </w:p>
          <w:p>
            <w:pPr>
              <w:ind w:firstLine="420" w:firstLineChars="200"/>
              <w:jc w:val="left"/>
              <w:rPr>
                <w:rFonts w:ascii="宋体" w:hAnsi="宋体"/>
                <w:color w:val="auto"/>
                <w:kern w:val="0"/>
              </w:rPr>
            </w:pPr>
            <w:r>
              <w:rPr>
                <w:rFonts w:hint="eastAsia" w:ascii="宋体" w:hAnsi="宋体"/>
                <w:color w:val="auto"/>
                <w:kern w:val="0"/>
              </w:rPr>
              <w:t>现行国标中未考虑该内容，地标中进行补充。</w:t>
            </w:r>
          </w:p>
          <w:p>
            <w:pPr>
              <w:ind w:firstLine="420" w:firstLineChars="200"/>
              <w:jc w:val="left"/>
              <w:rPr>
                <w:rFonts w:ascii="宋体" w:hAnsi="宋体"/>
                <w:color w:val="auto"/>
                <w:kern w:val="0"/>
              </w:rPr>
            </w:pPr>
            <w:r>
              <w:rPr>
                <w:rFonts w:hint="eastAsia" w:ascii="宋体" w:hAnsi="宋体"/>
                <w:color w:val="auto"/>
                <w:kern w:val="0"/>
              </w:rPr>
              <w:t>5、增加既有建筑的运行、建造及拆除阶段的碳排放核算方法</w:t>
            </w:r>
          </w:p>
          <w:p>
            <w:pPr>
              <w:ind w:firstLine="420" w:firstLineChars="200"/>
              <w:jc w:val="left"/>
              <w:rPr>
                <w:rFonts w:ascii="宋体" w:hAnsi="宋体"/>
                <w:color w:val="auto"/>
                <w:kern w:val="0"/>
              </w:rPr>
            </w:pPr>
            <w:r>
              <w:rPr>
                <w:rFonts w:hint="eastAsia" w:ascii="宋体" w:hAnsi="宋体"/>
                <w:color w:val="auto"/>
                <w:kern w:val="0"/>
              </w:rPr>
              <w:t>现阶段有大量既有建筑也需要进行碳排放核算，地标中对于有能耗监测系统和没有能耗监测系统的建筑提供了不同的核算方法。 核算方法来源于《广东省建筑碳排放计算导则》。</w:t>
            </w:r>
          </w:p>
          <w:p>
            <w:pPr>
              <w:ind w:firstLine="420" w:firstLineChars="200"/>
              <w:jc w:val="left"/>
              <w:rPr>
                <w:rFonts w:ascii="宋体" w:hAnsi="宋体"/>
                <w:color w:val="auto"/>
                <w:kern w:val="0"/>
              </w:rPr>
            </w:pPr>
            <w:r>
              <w:rPr>
                <w:rFonts w:hint="eastAsia" w:ascii="宋体" w:hAnsi="宋体"/>
                <w:color w:val="auto"/>
                <w:kern w:val="0"/>
              </w:rPr>
              <w:t>6、编制安徽省建筑碳排放汇总表</w:t>
            </w:r>
          </w:p>
          <w:p>
            <w:pPr>
              <w:ind w:firstLine="420" w:firstLineChars="200"/>
              <w:jc w:val="left"/>
              <w:rPr>
                <w:rFonts w:ascii="宋体" w:hAnsi="宋体"/>
                <w:color w:val="auto"/>
                <w:kern w:val="0"/>
              </w:rPr>
            </w:pPr>
            <w:r>
              <w:rPr>
                <w:rFonts w:hint="eastAsia" w:ascii="宋体" w:hAnsi="宋体"/>
                <w:color w:val="auto"/>
                <w:kern w:val="0"/>
              </w:rPr>
              <w:t>以工程项目建筑节能一览表为启示，研究制定安徽省建筑碳排放汇总表，表中对建筑信息、主要设备信息、各用能系统碳排放强度、降碳量、降碳率等信息进行明确，既有利于工程项目对本项目节能减排数据的了解，同时可以方便政府主管部门进行统计工作，有效简化碳排放数据管理工作。</w:t>
            </w:r>
          </w:p>
          <w:p>
            <w:pPr>
              <w:ind w:firstLine="420" w:firstLineChars="200"/>
              <w:jc w:val="left"/>
              <w:rPr>
                <w:rFonts w:ascii="宋体" w:hAnsi="宋体"/>
                <w:color w:val="auto"/>
                <w:kern w:val="0"/>
              </w:rPr>
            </w:pPr>
            <w:r>
              <w:rPr>
                <w:rFonts w:hint="eastAsia" w:ascii="宋体" w:hAnsi="宋体"/>
                <w:color w:val="auto"/>
                <w:kern w:val="0"/>
              </w:rPr>
              <w:t>7、对国标中部分碳排放计算方法进行细化</w:t>
            </w:r>
          </w:p>
          <w:p>
            <w:pPr>
              <w:ind w:firstLine="420" w:firstLineChars="200"/>
              <w:jc w:val="left"/>
              <w:rPr>
                <w:rFonts w:ascii="宋体" w:hAnsi="宋体"/>
                <w:color w:val="auto"/>
                <w:kern w:val="0"/>
              </w:rPr>
            </w:pPr>
            <w:r>
              <w:rPr>
                <w:rFonts w:hint="eastAsia" w:ascii="宋体" w:hAnsi="宋体"/>
                <w:color w:val="auto"/>
                <w:kern w:val="0"/>
              </w:rPr>
              <w:t>（1）生活热水系统</w:t>
            </w:r>
          </w:p>
          <w:p>
            <w:pPr>
              <w:ind w:firstLine="420" w:firstLineChars="200"/>
              <w:jc w:val="left"/>
              <w:rPr>
                <w:rFonts w:ascii="宋体" w:hAnsi="宋体"/>
                <w:color w:val="auto"/>
                <w:kern w:val="0"/>
              </w:rPr>
            </w:pPr>
            <w:r>
              <w:rPr>
                <w:rFonts w:hint="eastAsia" w:ascii="宋体" w:hAnsi="宋体"/>
                <w:color w:val="auto"/>
                <w:kern w:val="0"/>
              </w:rPr>
              <w:t>相比国标，增加了电辅热、燃气辅热、空气能辅热等不同辅热形式的生活热水系统能耗计算方法。而且把公式中主要参数选值都列出来，便于计算选取。</w:t>
            </w:r>
          </w:p>
          <w:p>
            <w:pPr>
              <w:ind w:firstLine="420" w:firstLineChars="200"/>
              <w:jc w:val="left"/>
              <w:rPr>
                <w:rFonts w:ascii="宋体" w:hAnsi="宋体"/>
                <w:color w:val="auto"/>
                <w:kern w:val="0"/>
              </w:rPr>
            </w:pPr>
            <w:r>
              <w:rPr>
                <w:rFonts w:hint="eastAsia" w:ascii="宋体" w:hAnsi="宋体"/>
                <w:color w:val="auto"/>
                <w:kern w:val="0"/>
              </w:rPr>
              <w:t>（2）照明系统</w:t>
            </w:r>
          </w:p>
          <w:p>
            <w:pPr>
              <w:ind w:firstLine="420" w:firstLineChars="200"/>
              <w:jc w:val="left"/>
              <w:rPr>
                <w:rFonts w:ascii="宋体" w:hAnsi="宋体"/>
                <w:color w:val="auto"/>
                <w:kern w:val="0"/>
              </w:rPr>
            </w:pPr>
            <w:r>
              <w:rPr>
                <w:rFonts w:hint="eastAsia" w:ascii="宋体" w:hAnsi="宋体"/>
                <w:color w:val="auto"/>
                <w:kern w:val="0"/>
              </w:rPr>
              <w:t>国标中照明系统能耗计算公式是按天计算，地标中与暖通空调一致，改为逐时计算。</w:t>
            </w:r>
          </w:p>
          <w:p>
            <w:pPr>
              <w:ind w:firstLine="420" w:firstLineChars="200"/>
              <w:jc w:val="left"/>
              <w:rPr>
                <w:rFonts w:ascii="宋体" w:hAnsi="宋体"/>
                <w:color w:val="auto"/>
                <w:kern w:val="0"/>
              </w:rPr>
            </w:pPr>
            <w:r>
              <w:rPr>
                <w:rFonts w:hint="eastAsia" w:ascii="宋体" w:hAnsi="宋体"/>
                <w:color w:val="auto"/>
                <w:kern w:val="0"/>
              </w:rPr>
              <w:t>（3）可再生能源系统</w:t>
            </w:r>
          </w:p>
          <w:p>
            <w:pPr>
              <w:ind w:firstLine="420" w:firstLineChars="200"/>
              <w:jc w:val="left"/>
              <w:rPr>
                <w:rFonts w:hint="eastAsia" w:ascii="宋体" w:hAnsi="宋体"/>
                <w:color w:val="auto"/>
                <w:kern w:val="0"/>
              </w:rPr>
            </w:pPr>
            <w:r>
              <w:rPr>
                <w:rFonts w:hint="eastAsia" w:ascii="宋体" w:hAnsi="宋体"/>
                <w:color w:val="auto"/>
                <w:kern w:val="0"/>
              </w:rPr>
              <w:t>修改了光伏系统公式。现行国标中光伏系统年发电量是按光伏板面积进行计算的，但是实际工程中，同样一块2平方米的光伏板，它的装机功率可能是200W、300W、400W甚至500W，所以按面积计算发电量不合理。因此地标中光伏系统年发电量是按安装功率来计算的。公式来源为《太阳能光伏与建筑一体化技术规程》DB34/T 5006-2023。</w:t>
            </w:r>
          </w:p>
          <w:p>
            <w:pPr>
              <w:ind w:firstLine="420" w:firstLineChars="200"/>
              <w:jc w:val="left"/>
              <w:rPr>
                <w:rFonts w:hint="eastAsia" w:ascii="宋体" w:hAnsi="宋体"/>
                <w:color w:val="auto"/>
                <w:kern w:val="0"/>
              </w:rPr>
            </w:pPr>
            <w:r>
              <w:rPr>
                <w:rFonts w:hint="eastAsia" w:ascii="宋体" w:hAnsi="宋体"/>
                <w:color w:val="auto"/>
                <w:kern w:val="0"/>
              </w:rPr>
              <w:t>（4）碳汇系统</w:t>
            </w:r>
          </w:p>
          <w:p>
            <w:pPr>
              <w:ind w:firstLine="420" w:firstLineChars="200"/>
              <w:jc w:val="left"/>
              <w:rPr>
                <w:rFonts w:hint="eastAsia" w:ascii="宋体" w:hAnsi="宋体"/>
                <w:color w:val="auto"/>
                <w:kern w:val="0"/>
              </w:rPr>
            </w:pPr>
            <w:r>
              <w:rPr>
                <w:rFonts w:hint="eastAsia" w:ascii="宋体" w:hAnsi="宋体"/>
                <w:color w:val="auto"/>
                <w:kern w:val="0"/>
              </w:rPr>
              <w:t>相比国标，增加了碳汇系统减碳量计算公式，公式来源《江苏省民用建筑碳排放计算导则》。</w:t>
            </w:r>
          </w:p>
          <w:p>
            <w:pPr>
              <w:ind w:firstLine="420" w:firstLineChars="200"/>
              <w:jc w:val="left"/>
              <w:rPr>
                <w:rFonts w:hint="eastAsia" w:ascii="宋体" w:hAnsi="宋体"/>
                <w:color w:val="auto"/>
                <w:kern w:val="0"/>
              </w:rPr>
            </w:pPr>
            <w:r>
              <w:rPr>
                <w:rFonts w:hint="eastAsia" w:ascii="宋体" w:hAnsi="宋体"/>
                <w:color w:val="auto"/>
                <w:kern w:val="0"/>
              </w:rPr>
              <w:t>（5）暖通空调系统</w:t>
            </w:r>
          </w:p>
          <w:p>
            <w:pPr>
              <w:ind w:firstLine="420" w:firstLineChars="200"/>
              <w:jc w:val="left"/>
              <w:rPr>
                <w:rFonts w:ascii="宋体" w:hAnsi="宋体"/>
                <w:color w:val="auto"/>
                <w:kern w:val="0"/>
              </w:rPr>
            </w:pPr>
            <w:r>
              <w:rPr>
                <w:rFonts w:hint="eastAsia" w:ascii="宋体" w:hAnsi="宋体"/>
                <w:color w:val="auto"/>
                <w:kern w:val="0"/>
              </w:rPr>
              <w:t>相比国标，冷热负荷计算改为全年动态逐时负荷计算。同时增加了冷水（热泵）</w:t>
            </w:r>
            <w:r>
              <w:rPr>
                <w:rFonts w:ascii="宋体" w:hAnsi="宋体"/>
                <w:color w:val="auto"/>
                <w:kern w:val="0"/>
              </w:rPr>
              <w:t xml:space="preserve"> 机组</w:t>
            </w:r>
            <w:r>
              <w:rPr>
                <w:rFonts w:hint="eastAsia" w:ascii="宋体" w:hAnsi="宋体"/>
                <w:color w:val="auto"/>
                <w:kern w:val="0"/>
              </w:rPr>
              <w:t>、锅炉、水泵、风机的能耗计算方法，公式来源于《民用建筑绿色性能计算标准》JGJ/T 449-2018。</w:t>
            </w:r>
          </w:p>
          <w:p>
            <w:pPr>
              <w:ind w:firstLine="420" w:firstLineChars="200"/>
              <w:jc w:val="left"/>
              <w:rPr>
                <w:rFonts w:ascii="宋体" w:hAnsi="宋体"/>
                <w:color w:val="auto"/>
                <w:kern w:val="0"/>
              </w:rPr>
            </w:pPr>
            <w:r>
              <w:rPr>
                <w:rFonts w:hint="eastAsia" w:ascii="宋体" w:hAnsi="宋体"/>
                <w:color w:val="auto"/>
                <w:kern w:val="0"/>
              </w:rPr>
              <w:t>（6）附录</w:t>
            </w:r>
          </w:p>
          <w:p>
            <w:pPr>
              <w:ind w:firstLine="420" w:firstLineChars="200"/>
              <w:jc w:val="left"/>
              <w:rPr>
                <w:rFonts w:ascii="宋体" w:hAnsi="宋体"/>
                <w:color w:val="auto"/>
                <w:kern w:val="0"/>
              </w:rPr>
            </w:pPr>
            <w:r>
              <w:rPr>
                <w:rFonts w:hint="eastAsia" w:ascii="宋体" w:hAnsi="宋体"/>
                <w:color w:val="auto"/>
                <w:kern w:val="0"/>
              </w:rPr>
              <w:t>附录A国标中没有提供碳排放计算直接可用的碳排放因子。地标中依据《综合能耗计算通则》GB/T 2589将国标中的数据换算成直接可用的碳排放因子。</w:t>
            </w:r>
          </w:p>
          <w:p>
            <w:pPr>
              <w:ind w:firstLine="420" w:firstLineChars="200"/>
              <w:jc w:val="left"/>
              <w:rPr>
                <w:rFonts w:ascii="宋体" w:hAnsi="宋体"/>
                <w:color w:val="auto"/>
                <w:kern w:val="0"/>
              </w:rPr>
            </w:pPr>
            <w:r>
              <w:rPr>
                <w:rFonts w:hint="eastAsia" w:ascii="宋体" w:hAnsi="宋体"/>
                <w:color w:val="auto"/>
                <w:kern w:val="0"/>
              </w:rPr>
              <w:t>附录C依据《建筑节能与可再生能源利用通用规范》GB 55015-2021进行编写。</w:t>
            </w:r>
          </w:p>
          <w:p>
            <w:pPr>
              <w:ind w:firstLine="420" w:firstLineChars="200"/>
              <w:jc w:val="left"/>
              <w:rPr>
                <w:rFonts w:ascii="宋体" w:hAnsi="宋体"/>
                <w:color w:val="auto"/>
                <w:kern w:val="0"/>
              </w:rPr>
            </w:pPr>
            <w:r>
              <w:rPr>
                <w:rFonts w:hint="eastAsia" w:ascii="宋体" w:hAnsi="宋体"/>
                <w:color w:val="auto"/>
                <w:kern w:val="0"/>
              </w:rPr>
              <w:t>附录E依据《安徽省建设工程施工机械台班费用编制规则》进行编写。</w:t>
            </w:r>
          </w:p>
          <w:p>
            <w:pPr>
              <w:ind w:firstLine="420" w:firstLineChars="200"/>
              <w:rPr>
                <w:rFonts w:ascii="宋体" w:hAnsi="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4"/>
              <w:adjustRightInd w:val="0"/>
              <w:spacing w:line="360" w:lineRule="auto"/>
              <w:ind w:firstLine="0" w:firstLineChars="0"/>
              <w:contextualSpacing/>
              <w:rPr>
                <w:rFonts w:hAnsi="宋体"/>
                <w:color w:val="auto"/>
                <w:szCs w:val="21"/>
              </w:rPr>
            </w:pPr>
            <w:bookmarkStart w:id="0" w:name="_Toc464902852"/>
            <w:bookmarkStart w:id="1" w:name="_Toc464905613"/>
            <w:bookmarkStart w:id="2" w:name="_Toc465074266"/>
            <w:bookmarkStart w:id="3" w:name="_Toc464905809"/>
            <w:bookmarkStart w:id="4" w:name="_Toc464905557"/>
            <w:r>
              <w:rPr>
                <w:rFonts w:hint="eastAsia" w:hAnsi="宋体"/>
                <w:b/>
                <w:bCs/>
                <w:color w:val="auto"/>
                <w:szCs w:val="21"/>
              </w:rPr>
              <w:t>5、标准中如果涉及专利，应有明确的知识产权说明</w:t>
            </w:r>
            <w:bookmarkEnd w:id="0"/>
            <w:bookmarkEnd w:id="1"/>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4"/>
              <w:adjustRightInd w:val="0"/>
              <w:spacing w:line="360" w:lineRule="auto"/>
              <w:ind w:firstLine="0" w:firstLineChars="0"/>
              <w:contextualSpacing/>
              <w:rPr>
                <w:rFonts w:hAnsi="宋体"/>
                <w:color w:val="auto"/>
                <w:szCs w:val="21"/>
              </w:rPr>
            </w:pPr>
            <w:r>
              <w:rPr>
                <w:rFonts w:hint="eastAsia" w:hAnsi="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4"/>
              <w:adjustRightInd w:val="0"/>
              <w:spacing w:line="360" w:lineRule="auto"/>
              <w:ind w:firstLine="0" w:firstLineChars="0"/>
              <w:contextualSpacing/>
              <w:rPr>
                <w:rFonts w:hAnsi="宋体"/>
                <w:color w:val="auto"/>
                <w:szCs w:val="21"/>
              </w:rPr>
            </w:pPr>
            <w:bookmarkStart w:id="5" w:name="_Toc464905614"/>
            <w:bookmarkStart w:id="6" w:name="_Toc464905558"/>
            <w:bookmarkStart w:id="7" w:name="_Toc465074267"/>
            <w:bookmarkStart w:id="8" w:name="_Toc464905810"/>
            <w:bookmarkStart w:id="9" w:name="_Toc464902853"/>
            <w:r>
              <w:rPr>
                <w:rFonts w:hint="eastAsia" w:hAnsi="宋体"/>
                <w:b/>
                <w:bCs/>
                <w:color w:val="auto"/>
                <w:szCs w:val="21"/>
              </w:rPr>
              <w:t>6、采用国际标准或国外先进标准的，说明采标程度，以及国内外同类标准水平的对比情况</w:t>
            </w:r>
            <w:bookmarkEnd w:id="5"/>
            <w:bookmarkEnd w:id="6"/>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4"/>
              <w:adjustRightInd w:val="0"/>
              <w:spacing w:line="360" w:lineRule="auto"/>
              <w:ind w:firstLine="0" w:firstLineChars="0"/>
              <w:contextualSpacing/>
              <w:rPr>
                <w:rFonts w:hAnsi="宋体"/>
                <w:color w:val="auto"/>
                <w:szCs w:val="21"/>
              </w:rPr>
            </w:pPr>
            <w:r>
              <w:rPr>
                <w:rFonts w:hint="eastAsia" w:hAnsi="宋体"/>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4"/>
              <w:adjustRightInd w:val="0"/>
              <w:spacing w:line="360" w:lineRule="auto"/>
              <w:ind w:firstLine="0" w:firstLineChars="0"/>
              <w:contextualSpacing/>
              <w:rPr>
                <w:rFonts w:hAnsi="宋体"/>
                <w:color w:val="auto"/>
                <w:szCs w:val="21"/>
              </w:rPr>
            </w:pPr>
            <w:bookmarkStart w:id="10" w:name="_Toc464905615"/>
            <w:bookmarkStart w:id="11" w:name="_Toc464902854"/>
            <w:bookmarkStart w:id="12" w:name="_Toc464905811"/>
            <w:bookmarkStart w:id="13" w:name="_Toc464905559"/>
            <w:bookmarkStart w:id="14" w:name="_Toc465074268"/>
            <w:r>
              <w:rPr>
                <w:rFonts w:hint="eastAsia" w:hAnsi="宋体"/>
                <w:b/>
                <w:bCs/>
                <w:color w:val="auto"/>
                <w:szCs w:val="21"/>
              </w:rPr>
              <w:t>7、重大分歧意见的处理经过和依据</w:t>
            </w:r>
            <w:bookmarkEnd w:id="10"/>
            <w:bookmarkEnd w:id="11"/>
            <w:bookmarkEnd w:id="12"/>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4"/>
              <w:adjustRightInd w:val="0"/>
              <w:spacing w:line="360" w:lineRule="auto"/>
              <w:ind w:firstLine="0" w:firstLineChars="0"/>
              <w:contextualSpacing/>
              <w:rPr>
                <w:rFonts w:hAnsi="宋体"/>
                <w:color w:val="auto"/>
                <w:szCs w:val="21"/>
              </w:rPr>
            </w:pPr>
            <w:r>
              <w:rPr>
                <w:rFonts w:hint="eastAsia"/>
                <w:color w:val="auto"/>
                <w:szCs w:val="21"/>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4"/>
              <w:adjustRightInd w:val="0"/>
              <w:spacing w:line="360" w:lineRule="auto"/>
              <w:ind w:firstLine="0" w:firstLineChars="0"/>
              <w:contextualSpacing/>
              <w:rPr>
                <w:rFonts w:hAnsi="宋体"/>
                <w:color w:val="auto"/>
                <w:szCs w:val="21"/>
              </w:rPr>
            </w:pPr>
            <w:bookmarkStart w:id="15" w:name="_Toc465074269"/>
            <w:bookmarkStart w:id="16" w:name="_Toc464902855"/>
            <w:bookmarkStart w:id="17" w:name="_Toc464905812"/>
            <w:bookmarkStart w:id="18" w:name="_Toc464905616"/>
            <w:bookmarkStart w:id="19" w:name="_Toc464905560"/>
            <w:r>
              <w:rPr>
                <w:rFonts w:hint="eastAsia" w:hAnsi="宋体"/>
                <w:b/>
                <w:bCs/>
                <w:color w:val="auto"/>
                <w:szCs w:val="21"/>
              </w:rPr>
              <w:t>8、贯彻标准的要求和措施建议（包括组织措施、技术措施、过渡办法、实施日期等）</w:t>
            </w:r>
            <w:bookmarkEnd w:id="15"/>
            <w:bookmarkEnd w:id="16"/>
            <w:bookmarkEnd w:id="17"/>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4"/>
              <w:adjustRightInd w:val="0"/>
              <w:spacing w:line="360" w:lineRule="auto"/>
              <w:contextualSpacing/>
              <w:rPr>
                <w:rFonts w:hAnsi="宋体"/>
                <w:color w:val="auto"/>
                <w:szCs w:val="21"/>
              </w:rPr>
            </w:pPr>
            <w:r>
              <w:rPr>
                <w:rFonts w:hint="eastAsia" w:hAnsi="宋体"/>
                <w:color w:val="auto"/>
                <w:szCs w:val="21"/>
              </w:rPr>
              <w:t>标准发布实施后，由编制组制定宣贯方案，对标准进行宣贯，对安徽省内标准实施各方开展宣传、培训、标准发放等工作，在全省范围内对标准实施各方主体开展宣贯培训，推动标准的落地。</w:t>
            </w:r>
          </w:p>
          <w:p>
            <w:pPr>
              <w:pStyle w:val="14"/>
              <w:adjustRightInd w:val="0"/>
              <w:spacing w:line="360" w:lineRule="auto"/>
              <w:contextualSpacing/>
              <w:rPr>
                <w:rFonts w:hAnsi="宋体"/>
                <w:color w:val="auto"/>
                <w:szCs w:val="21"/>
              </w:rPr>
            </w:pPr>
            <w:r>
              <w:rPr>
                <w:rFonts w:hint="eastAsia" w:hAnsi="宋体"/>
                <w:color w:val="auto"/>
                <w:szCs w:val="21"/>
              </w:rPr>
              <w:t>本标准为首次制定，在标准实施过程中，不断总结，结合行业发展，发现标准执行中的问题，适时进行修订，不断修改完善，提升标准技术水平，进一步提高标准的科学性、合理性、协调性和可操作性。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4"/>
              <w:adjustRightInd w:val="0"/>
              <w:spacing w:line="360" w:lineRule="auto"/>
              <w:ind w:firstLine="0" w:firstLineChars="0"/>
              <w:contextualSpacing/>
              <w:rPr>
                <w:rFonts w:hAnsi="宋体"/>
                <w:color w:val="auto"/>
                <w:szCs w:val="21"/>
              </w:rPr>
            </w:pPr>
            <w:bookmarkStart w:id="20" w:name="_Toc464902856"/>
            <w:bookmarkStart w:id="21" w:name="_Toc465074270"/>
            <w:bookmarkStart w:id="22" w:name="_Toc464905617"/>
            <w:bookmarkStart w:id="23" w:name="_Toc464905813"/>
            <w:bookmarkStart w:id="24" w:name="_Toc464905561"/>
            <w:r>
              <w:rPr>
                <w:rFonts w:hint="eastAsia" w:hAnsi="宋体"/>
                <w:b/>
                <w:bCs/>
                <w:color w:val="auto"/>
                <w:szCs w:val="21"/>
              </w:rPr>
              <w:t>9、废止现行相关标准的建议</w:t>
            </w:r>
            <w:bookmarkEnd w:id="20"/>
            <w:bookmarkEnd w:id="21"/>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4"/>
              <w:adjustRightInd w:val="0"/>
              <w:spacing w:line="360" w:lineRule="auto"/>
              <w:ind w:firstLine="0" w:firstLineChars="0"/>
              <w:contextualSpacing/>
              <w:rPr>
                <w:rFonts w:hAnsi="宋体"/>
                <w:color w:val="auto"/>
                <w:szCs w:val="21"/>
              </w:rPr>
            </w:pPr>
            <w:r>
              <w:rPr>
                <w:rFonts w:hint="eastAsia"/>
                <w:color w:val="auto"/>
                <w:szCs w:val="21"/>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4"/>
              <w:adjustRightInd w:val="0"/>
              <w:spacing w:line="360" w:lineRule="auto"/>
              <w:ind w:firstLine="0" w:firstLineChars="0"/>
              <w:contextualSpacing/>
              <w:rPr>
                <w:rFonts w:hAnsi="宋体"/>
                <w:szCs w:val="21"/>
              </w:rPr>
            </w:pPr>
            <w:bookmarkStart w:id="25" w:name="_Toc464905814"/>
            <w:bookmarkStart w:id="26" w:name="_Toc464905562"/>
            <w:bookmarkStart w:id="27" w:name="_Toc464905618"/>
            <w:bookmarkStart w:id="28" w:name="_Toc464902857"/>
            <w:bookmarkStart w:id="29" w:name="_Toc465074271"/>
            <w:r>
              <w:rPr>
                <w:rFonts w:hint="eastAsia" w:hAnsi="宋体"/>
                <w:b/>
                <w:bCs/>
                <w:szCs w:val="21"/>
              </w:rPr>
              <w:t>10、其它应予说明的事项</w:t>
            </w:r>
            <w:bookmarkEnd w:id="25"/>
            <w:bookmarkEnd w:id="26"/>
            <w:bookmarkEnd w:id="27"/>
            <w:bookmarkEnd w:id="28"/>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4"/>
              <w:adjustRightInd w:val="0"/>
              <w:spacing w:line="360" w:lineRule="auto"/>
              <w:ind w:firstLine="0" w:firstLineChars="0"/>
              <w:contextualSpacing/>
              <w:rPr>
                <w:rFonts w:hAnsi="宋体"/>
                <w:szCs w:val="21"/>
              </w:rPr>
            </w:pPr>
            <w:r>
              <w:rPr>
                <w:rFonts w:hint="eastAsia"/>
                <w:szCs w:val="21"/>
                <w:shd w:val="clear" w:color="auto" w:fill="FFFFFF"/>
              </w:rPr>
              <w:t>无</w:t>
            </w:r>
          </w:p>
        </w:tc>
      </w:tr>
    </w:tbl>
    <w:p>
      <w:pPr>
        <w:pStyle w:val="15"/>
      </w:pPr>
      <w:r>
        <w:rPr>
          <w:rFonts w:hint="eastAsia"/>
        </w:rPr>
        <w:t>没有的请填写 “无”。</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D3FBC"/>
    <w:multiLevelType w:val="multilevel"/>
    <w:tmpl w:val="657D3FBC"/>
    <w:lvl w:ilvl="0" w:tentative="0">
      <w:start w:val="1"/>
      <w:numFmt w:val="upperLetter"/>
      <w:pStyle w:val="12"/>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6DBF04F4"/>
    <w:multiLevelType w:val="multilevel"/>
    <w:tmpl w:val="6DBF04F4"/>
    <w:lvl w:ilvl="0" w:tentative="0">
      <w:start w:val="1"/>
      <w:numFmt w:val="none"/>
      <w:pStyle w:val="1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Y2OGFlZjdiMDkyMmU3Y2M3NGEzMmY5ODE2OTJlMzAifQ=="/>
  </w:docVars>
  <w:rsids>
    <w:rsidRoot w:val="11937BFE"/>
    <w:rsid w:val="0000424A"/>
    <w:rsid w:val="00022D15"/>
    <w:rsid w:val="00023765"/>
    <w:rsid w:val="00024247"/>
    <w:rsid w:val="00026C6E"/>
    <w:rsid w:val="00037EC4"/>
    <w:rsid w:val="000614F3"/>
    <w:rsid w:val="00095D6F"/>
    <w:rsid w:val="000B1103"/>
    <w:rsid w:val="00101794"/>
    <w:rsid w:val="0011059C"/>
    <w:rsid w:val="0016290E"/>
    <w:rsid w:val="001634C5"/>
    <w:rsid w:val="001649DF"/>
    <w:rsid w:val="0019424A"/>
    <w:rsid w:val="001C1DB7"/>
    <w:rsid w:val="001C2320"/>
    <w:rsid w:val="001C48B2"/>
    <w:rsid w:val="001D60F1"/>
    <w:rsid w:val="00200018"/>
    <w:rsid w:val="0025402E"/>
    <w:rsid w:val="002628B0"/>
    <w:rsid w:val="00275B1C"/>
    <w:rsid w:val="00296C55"/>
    <w:rsid w:val="002C4F30"/>
    <w:rsid w:val="002F3700"/>
    <w:rsid w:val="00344E5F"/>
    <w:rsid w:val="003716E1"/>
    <w:rsid w:val="00382EC6"/>
    <w:rsid w:val="003B5875"/>
    <w:rsid w:val="003F53AD"/>
    <w:rsid w:val="0040754A"/>
    <w:rsid w:val="004B1E7D"/>
    <w:rsid w:val="004B53BE"/>
    <w:rsid w:val="004C7E1D"/>
    <w:rsid w:val="004D0695"/>
    <w:rsid w:val="00520F21"/>
    <w:rsid w:val="00552325"/>
    <w:rsid w:val="005F142B"/>
    <w:rsid w:val="0064069E"/>
    <w:rsid w:val="00680642"/>
    <w:rsid w:val="006B40F3"/>
    <w:rsid w:val="006C1EF2"/>
    <w:rsid w:val="006E1576"/>
    <w:rsid w:val="00710393"/>
    <w:rsid w:val="00764F30"/>
    <w:rsid w:val="007A1B5D"/>
    <w:rsid w:val="007E7551"/>
    <w:rsid w:val="007F5F75"/>
    <w:rsid w:val="008355C7"/>
    <w:rsid w:val="008A756C"/>
    <w:rsid w:val="00934A62"/>
    <w:rsid w:val="00974F65"/>
    <w:rsid w:val="00992834"/>
    <w:rsid w:val="00A0528B"/>
    <w:rsid w:val="00AA0056"/>
    <w:rsid w:val="00AE5C46"/>
    <w:rsid w:val="00B52793"/>
    <w:rsid w:val="00B532B6"/>
    <w:rsid w:val="00B56D03"/>
    <w:rsid w:val="00BA32EC"/>
    <w:rsid w:val="00BA71A9"/>
    <w:rsid w:val="00BE3CF3"/>
    <w:rsid w:val="00C127B9"/>
    <w:rsid w:val="00C1334E"/>
    <w:rsid w:val="00C46B77"/>
    <w:rsid w:val="00C6117F"/>
    <w:rsid w:val="00C6226B"/>
    <w:rsid w:val="00C62F50"/>
    <w:rsid w:val="00C645AD"/>
    <w:rsid w:val="00CD36D7"/>
    <w:rsid w:val="00D279CA"/>
    <w:rsid w:val="00D47E8A"/>
    <w:rsid w:val="00DA23A5"/>
    <w:rsid w:val="00DB19A4"/>
    <w:rsid w:val="00E00E61"/>
    <w:rsid w:val="00EF0423"/>
    <w:rsid w:val="00F5620E"/>
    <w:rsid w:val="00F575B3"/>
    <w:rsid w:val="00F62C5A"/>
    <w:rsid w:val="00F709E5"/>
    <w:rsid w:val="00F923AF"/>
    <w:rsid w:val="05DF0718"/>
    <w:rsid w:val="09B63701"/>
    <w:rsid w:val="0D5B1AFA"/>
    <w:rsid w:val="0E0139D1"/>
    <w:rsid w:val="11937BFE"/>
    <w:rsid w:val="1F651806"/>
    <w:rsid w:val="2189338F"/>
    <w:rsid w:val="24B42D48"/>
    <w:rsid w:val="25FC2044"/>
    <w:rsid w:val="2C626255"/>
    <w:rsid w:val="2CA66493"/>
    <w:rsid w:val="389711C6"/>
    <w:rsid w:val="4BB40B47"/>
    <w:rsid w:val="4E3147F2"/>
    <w:rsid w:val="5BAB2276"/>
    <w:rsid w:val="63FE316D"/>
    <w:rsid w:val="6A3C022E"/>
    <w:rsid w:val="6C040E8E"/>
    <w:rsid w:val="6EC93F6F"/>
    <w:rsid w:val="77096059"/>
    <w:rsid w:val="77BA2B0E"/>
    <w:rsid w:val="7869628B"/>
    <w:rsid w:val="79E22FAD"/>
    <w:rsid w:val="79E306C6"/>
    <w:rsid w:val="7C3E09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11">
    <w:name w:val="Default Paragraph Font"/>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after="120"/>
    </w:pPr>
    <w:rPr>
      <w:sz w:val="24"/>
      <w:szCs w:val="20"/>
    </w:rPr>
  </w:style>
  <w:style w:type="paragraph" w:styleId="4">
    <w:name w:val="Body Text Indent"/>
    <w:basedOn w:val="1"/>
    <w:next w:val="5"/>
    <w:qFormat/>
    <w:uiPriority w:val="0"/>
    <w:pPr>
      <w:ind w:firstLine="420" w:firstLineChars="200"/>
    </w:pPr>
    <w:rPr>
      <w:rFonts w:ascii="Times New Roman" w:hAnsi="Times New Roman"/>
      <w:kern w:val="0"/>
      <w:sz w:val="24"/>
      <w:szCs w:val="24"/>
    </w:rPr>
  </w:style>
  <w:style w:type="paragraph" w:styleId="5">
    <w:name w:val="envelope return"/>
    <w:basedOn w:val="1"/>
    <w:qFormat/>
    <w:uiPriority w:val="0"/>
    <w:pPr>
      <w:snapToGrid w:val="0"/>
    </w:pPr>
    <w:rPr>
      <w:rFonts w:ascii="Arial" w:hAnsi="Arial"/>
    </w:rPr>
  </w:style>
  <w:style w:type="paragraph" w:styleId="6">
    <w:name w:val="footer"/>
    <w:basedOn w:val="1"/>
    <w:link w:val="17"/>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9">
    <w:name w:val="Body Text First Indent 2"/>
    <w:basedOn w:val="4"/>
    <w:unhideWhenUsed/>
    <w:qFormat/>
    <w:uiPriority w:val="99"/>
    <w:pPr>
      <w:spacing w:after="120"/>
      <w:ind w:left="420" w:leftChars="200"/>
    </w:pPr>
    <w:rPr>
      <w:rFonts w:ascii="Calibri" w:hAnsi="Calibri"/>
      <w:kern w:val="2"/>
      <w:sz w:val="21"/>
      <w:szCs w:val="22"/>
    </w:rPr>
  </w:style>
  <w:style w:type="paragraph" w:customStyle="1" w:styleId="12">
    <w:name w:val="标准文件_附录标识"/>
    <w:next w:val="13"/>
    <w:qFormat/>
    <w:uiPriority w:val="0"/>
    <w:pPr>
      <w:numPr>
        <w:ilvl w:val="0"/>
        <w:numId w:val="1"/>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1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标准文件_注："/>
    <w:next w:val="13"/>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character" w:customStyle="1" w:styleId="16">
    <w:name w:val="页眉 Char"/>
    <w:basedOn w:val="11"/>
    <w:link w:val="7"/>
    <w:qFormat/>
    <w:uiPriority w:val="0"/>
    <w:rPr>
      <w:rFonts w:ascii="Calibri" w:hAnsi="Calibri" w:eastAsia="宋体" w:cs="Times New Roman"/>
      <w:kern w:val="2"/>
      <w:sz w:val="18"/>
      <w:szCs w:val="18"/>
    </w:rPr>
  </w:style>
  <w:style w:type="character" w:customStyle="1" w:styleId="17">
    <w:name w:val="页脚 Char"/>
    <w:basedOn w:val="11"/>
    <w:link w:val="6"/>
    <w:qFormat/>
    <w:uiPriority w:val="0"/>
    <w:rPr>
      <w:rFonts w:ascii="Calibri" w:hAnsi="Calibri" w:eastAsia="宋体" w:cs="Times New Roman"/>
      <w:kern w:val="2"/>
      <w:sz w:val="18"/>
      <w:szCs w:val="18"/>
    </w:rPr>
  </w:style>
  <w:style w:type="character" w:customStyle="1" w:styleId="18">
    <w:name w:val="op_exactqa_word_word_text1"/>
    <w:basedOn w:val="11"/>
    <w:qFormat/>
    <w:uiPriority w:val="0"/>
    <w:rPr>
      <w:spacing w:val="15"/>
      <w:sz w:val="20"/>
      <w:szCs w:val="20"/>
    </w:rPr>
  </w:style>
  <w:style w:type="paragraph" w:customStyle="1" w:styleId="19">
    <w:name w:val="列出段落1"/>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3354</Words>
  <Characters>3557</Characters>
  <Lines>25</Lines>
  <Paragraphs>7</Paragraphs>
  <TotalTime>1</TotalTime>
  <ScaleCrop>false</ScaleCrop>
  <LinksUpToDate>false</LinksUpToDate>
  <CharactersWithSpaces>3570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2022-09-22T02:36:00Z</dcterms:created>
  <dc:creator>ying123lin163com</dc:creator>
  <cp:lastModifiedBy>ying123lin163com</cp:lastModifiedBy>
  <dcterms:modified xsi:type="dcterms:W3CDTF">2023-11-28T09:19:42Z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93164B6D702546179E96BC355752B824</vt:lpwstr>
  </property>
</Properties>
</file>