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framePr w:w="9639" w:h="624" w:hRule="exact" w:hSpace="181" w:vSpace="181" w:hAnchor="page" w:x="1305" w:y="2269"/>
        <w:rPr>
          <w:rFonts w:ascii="黑体" w:hAnsi="黑体" w:eastAsia="黑体"/>
          <w:b w:val="0"/>
          <w:bCs w:val="0"/>
          <w:w w:val="100"/>
          <w:sz w:val="48"/>
          <w:szCs w:val="48"/>
        </w:rPr>
      </w:pPr>
      <w:bookmarkStart w:id="510" w:name="_GoBack"/>
      <w:bookmarkEnd w:id="510"/>
      <w:bookmarkStart w:id="0" w:name="_Hlk26473981"/>
      <w:bookmarkStart w:id="1" w:name="_Toc112072091"/>
      <w:bookmarkStart w:id="2" w:name="_Toc3981"/>
      <w:r>
        <w:rPr>
          <w:rFonts w:ascii="黑体" w:eastAsia="黑体"/>
          <w:b w:val="0"/>
          <w:w w:val="100"/>
          <w:sz w:val="48"/>
        </w:rPr>
        <w:fldChar w:fldCharType="begin">
          <w:ffData>
            <w:name w:val="c2"/>
            <w:enabled/>
            <w:calcOnExit w:val="0"/>
            <w:textInput/>
          </w:ffData>
        </w:fldChar>
      </w:r>
      <w:bookmarkStart w:id="3"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bookmarkEnd w:id="3"/>
      <w:r>
        <w:rPr>
          <w:rFonts w:hint="eastAsia" w:ascii="黑体" w:hAnsi="黑体" w:eastAsia="黑体"/>
          <w:b w:val="0"/>
          <w:bCs w:val="0"/>
          <w:w w:val="100"/>
          <w:sz w:val="48"/>
          <w:szCs w:val="48"/>
        </w:rPr>
        <w:t>地方标准</w:t>
      </w:r>
    </w:p>
    <w:bookmarkEnd w:id="0"/>
    <w:p>
      <w:pPr>
        <w:pStyle w:val="96"/>
        <w:framePr/>
        <w:rPr>
          <w:lang w:val="fr-FR"/>
        </w:rPr>
      </w:pPr>
      <w:r>
        <w:rPr>
          <w:lang w:val="fr-FR"/>
        </w:rPr>
        <w:t>DB</w:t>
      </w:r>
      <w:r>
        <w:fldChar w:fldCharType="begin">
          <w:ffData>
            <w:name w:val="文字1"/>
            <w:enabled/>
            <w:calcOnExit w:val="0"/>
            <w:textInput>
              <w:default w:val="XX/T"/>
            </w:textInput>
          </w:ffData>
        </w:fldChar>
      </w:r>
      <w:bookmarkStart w:id="4" w:name="文字1"/>
      <w:r>
        <w:rPr>
          <w:lang w:val="fr-FR"/>
        </w:rPr>
        <w:instrText xml:space="preserve"> FORMTEXT </w:instrText>
      </w:r>
      <w:r>
        <w:fldChar w:fldCharType="separate"/>
      </w:r>
      <w:r>
        <w:rPr>
          <w:lang w:val="fr-FR"/>
        </w:rPr>
        <w:t>42/T</w:t>
      </w:r>
      <w:r>
        <w:fldChar w:fldCharType="end"/>
      </w:r>
      <w:bookmarkEnd w:id="4"/>
      <w:r>
        <w:rPr>
          <w:lang w:val="fr-FR"/>
        </w:rPr>
        <w:t xml:space="preserve"> </w:t>
      </w:r>
      <w:r>
        <w:fldChar w:fldCharType="begin">
          <w:ffData>
            <w:name w:val="NSTD_CODE_F"/>
            <w:enabled/>
            <w:calcOnExit w:val="0"/>
            <w:textInput>
              <w:default w:val="XXXX"/>
            </w:textInput>
          </w:ffData>
        </w:fldChar>
      </w:r>
      <w:bookmarkStart w:id="5" w:name="NSTD_CODE_F"/>
      <w:r>
        <w:rPr>
          <w:lang w:val="fr-FR"/>
        </w:rPr>
        <w:instrText xml:space="preserve"> FORMTEXT </w:instrText>
      </w:r>
      <w:r>
        <w:fldChar w:fldCharType="separate"/>
      </w:r>
      <w:r>
        <w:rPr>
          <w:lang w:val="fr-FR"/>
        </w:rPr>
        <w:t>XXXX</w:t>
      </w:r>
      <w:r>
        <w:fldChar w:fldCharType="end"/>
      </w:r>
      <w:bookmarkEnd w:id="5"/>
      <w:r>
        <w:rPr>
          <w:rFonts w:hAnsi="黑体"/>
          <w:lang w:val="fr-FR"/>
        </w:rPr>
        <w:t>—</w:t>
      </w:r>
      <w:r>
        <w:fldChar w:fldCharType="begin">
          <w:ffData>
            <w:name w:val="NSTD_CODE_B"/>
            <w:enabled/>
            <w:calcOnExit w:val="0"/>
            <w:textInput>
              <w:default w:val="XXXX"/>
            </w:textInput>
          </w:ffData>
        </w:fldChar>
      </w:r>
      <w:bookmarkStart w:id="6" w:name="NSTD_CODE_B"/>
      <w:r>
        <w:rPr>
          <w:lang w:val="fr-FR"/>
        </w:rPr>
        <w:instrText xml:space="preserve"> FORMTEXT </w:instrText>
      </w:r>
      <w:r>
        <w:fldChar w:fldCharType="separate"/>
      </w:r>
      <w:r>
        <w:t>     </w:t>
      </w:r>
      <w:r>
        <w:fldChar w:fldCharType="end"/>
      </w:r>
      <w:bookmarkEnd w:id="6"/>
    </w:p>
    <w:p>
      <w:pPr>
        <w:pStyle w:val="97"/>
        <w:framePr/>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7"/>
    </w:p>
    <w:p>
      <w:pPr>
        <w:tabs>
          <w:tab w:val="left" w:pos="3140"/>
        </w:tabs>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v:fill on="f" focussize="0,0"/>
                <v:stroke color="#000000" joinstyle="round"/>
                <v:imagedata o:title=""/>
                <o:lock v:ext="edit" aspectratio="f"/>
              </v:line>
            </w:pict>
          </mc:Fallback>
        </mc:AlternateContent>
      </w:r>
      <w:r>
        <w:rPr>
          <w:rFonts w:ascii="黑体" w:hAnsi="黑体" w:eastAsia="黑体"/>
          <w:kern w:val="0"/>
          <w:sz w:val="10"/>
          <w:szCs w:val="10"/>
        </w:rPr>
        <w:tab/>
      </w:r>
    </w:p>
    <w:p>
      <w:pPr>
        <w:pStyle w:val="95"/>
        <w:framePr w:w="9639" w:h="6976" w:hRule="exact" w:hSpace="0" w:vSpace="0" w:hAnchor="page" w:y="6408"/>
        <w:jc w:val="center"/>
        <w:rPr>
          <w:rFonts w:ascii="黑体" w:hAnsi="黑体" w:eastAsia="黑体"/>
          <w:b w:val="0"/>
          <w:bCs w:val="0"/>
          <w:w w:val="100"/>
        </w:rPr>
      </w:pPr>
    </w:p>
    <w:p>
      <w:pPr>
        <w:pStyle w:val="98"/>
        <w:framePr w:h="6974" w:hRule="exact" w:wrap="around" w:x="1419" w:anchorLock="1"/>
      </w:pPr>
      <w:r>
        <w:rPr>
          <w:rFonts w:hint="eastAsia" w:hAnsi="宋体"/>
          <w:szCs w:val="52"/>
        </w:rPr>
        <w:t>装配式混合结构技术规程</w:t>
      </w:r>
    </w:p>
    <w:p>
      <w:pPr>
        <w:framePr w:w="9639" w:h="6974" w:hRule="exact" w:wrap="around" w:vAnchor="page" w:hAnchor="page" w:x="1419" w:y="6408" w:anchorLock="1"/>
        <w:ind w:left="-1418" w:firstLine="420"/>
      </w:pPr>
    </w:p>
    <w:p>
      <w:pPr>
        <w:pStyle w:val="99"/>
        <w:framePr w:w="9639" w:h="6974" w:hRule="exact" w:wrap="around" w:vAnchor="page" w:hAnchor="page" w:x="1419" w:y="6408" w:anchorLock="1"/>
        <w:textAlignment w:val="bottom"/>
        <w:rPr>
          <w:rFonts w:eastAsia="黑体"/>
          <w:szCs w:val="28"/>
        </w:rPr>
      </w:pPr>
      <w:r>
        <w:rPr>
          <w:rFonts w:eastAsia="黑体"/>
          <w:szCs w:val="28"/>
        </w:rPr>
        <w:t>Technical specification for assembled hybrid structure</w:t>
      </w:r>
    </w:p>
    <w:p>
      <w:pPr>
        <w:framePr w:w="9639" w:h="6974" w:hRule="exact" w:wrap="around" w:vAnchor="page" w:hAnchor="page" w:x="1419" w:y="6408" w:anchorLock="1"/>
        <w:spacing w:line="760" w:lineRule="exact"/>
        <w:ind w:left="-1418" w:firstLine="420"/>
      </w:pPr>
    </w:p>
    <w:p>
      <w:pPr>
        <w:pStyle w:val="99"/>
        <w:framePr w:w="9639" w:h="6974" w:hRule="exact" w:wrap="around" w:vAnchor="page" w:hAnchor="page" w:x="1419" w:y="6408" w:anchorLock="1"/>
        <w:textAlignment w:val="bottom"/>
        <w:rPr>
          <w:rFonts w:eastAsia="黑体"/>
          <w:szCs w:val="28"/>
        </w:rPr>
      </w:pPr>
    </w:p>
    <w:p>
      <w:pPr>
        <w:pStyle w:val="99"/>
        <w:framePr w:w="9639" w:h="6974" w:hRule="exact" w:wrap="around" w:vAnchor="page" w:hAnchor="page" w:x="1419" w:y="6408" w:anchorLock="1"/>
        <w:spacing w:before="440" w:after="160"/>
        <w:textAlignment w:val="bottom"/>
        <w:rPr>
          <w:rFonts w:eastAsia="黑体"/>
          <w:sz w:val="24"/>
          <w:szCs w:val="28"/>
        </w:rPr>
      </w:pPr>
      <w:r>
        <w:rPr>
          <w:rFonts w:hint="eastAsia" w:eastAsia="黑体"/>
          <w:sz w:val="32"/>
          <w:szCs w:val="32"/>
        </w:rPr>
        <w:t>（征求意见稿)</w:t>
      </w:r>
    </w:p>
    <w:p>
      <w:pPr>
        <w:pStyle w:val="100"/>
        <w:framePr w:y="14176"/>
      </w:pPr>
      <w:r>
        <w:rPr>
          <w:rFonts w:hint="eastAsia" w:ascii="黑体"/>
        </w:rPr>
        <w:t>2025</w:t>
      </w:r>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8"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8"/>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9"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9"/>
      <w:r>
        <w:rPr>
          <w:rFonts w:hint="eastAsia"/>
        </w:rPr>
        <w:t>发布</w:t>
      </w:r>
    </w:p>
    <w:p>
      <w:pPr>
        <w:pStyle w:val="101"/>
        <w:framePr w:y="14176"/>
      </w:pPr>
      <w:r>
        <w:rPr>
          <w:rFonts w:hint="eastAsia" w:ascii="黑体"/>
        </w:rPr>
        <w:t>2025</w:t>
      </w:r>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0"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1"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hint="eastAsia"/>
        </w:rPr>
        <w:t>实施</w:t>
      </w:r>
    </w:p>
    <w:tbl>
      <w:tblPr>
        <w:tblStyle w:val="33"/>
        <w:tblpPr w:leftFromText="180" w:rightFromText="180" w:vertAnchor="text" w:horzAnchor="margin" w:tblpXSpec="right" w:tblpY="14609"/>
        <w:tblW w:w="8472" w:type="dxa"/>
        <w:tblInd w:w="0" w:type="dxa"/>
        <w:tblLayout w:type="fixed"/>
        <w:tblCellMar>
          <w:top w:w="0" w:type="dxa"/>
          <w:left w:w="108" w:type="dxa"/>
          <w:bottom w:w="0" w:type="dxa"/>
          <w:right w:w="108" w:type="dxa"/>
        </w:tblCellMar>
      </w:tblPr>
      <w:tblGrid>
        <w:gridCol w:w="5019"/>
        <w:gridCol w:w="3453"/>
      </w:tblGrid>
      <w:tr>
        <w:tblPrEx>
          <w:tblCellMar>
            <w:top w:w="0" w:type="dxa"/>
            <w:left w:w="108" w:type="dxa"/>
            <w:bottom w:w="0" w:type="dxa"/>
            <w:right w:w="108" w:type="dxa"/>
          </w:tblCellMar>
        </w:tblPrEx>
        <w:tc>
          <w:tcPr>
            <w:tcW w:w="5019" w:type="dxa"/>
          </w:tcPr>
          <w:p>
            <w:pPr>
              <w:pStyle w:val="71"/>
              <w:framePr/>
              <w:jc w:val="distribute"/>
              <w:rPr>
                <w:rFonts w:ascii="Times New Roman"/>
                <w:sz w:val="28"/>
                <w:szCs w:val="16"/>
              </w:rPr>
            </w:pPr>
            <w:r>
              <w:rPr>
                <w:rFonts w:ascii="Times New Roman"/>
                <w:sz w:val="28"/>
                <w:szCs w:val="16"/>
              </w:rPr>
              <w:t>湖北省住房和城乡建设厅</w:t>
            </w:r>
          </w:p>
        </w:tc>
        <w:tc>
          <w:tcPr>
            <w:tcW w:w="3453" w:type="dxa"/>
            <w:vMerge w:val="restart"/>
            <w:vAlign w:val="center"/>
          </w:tcPr>
          <w:p>
            <w:pPr>
              <w:pStyle w:val="71"/>
              <w:framePr/>
              <w:rPr>
                <w:rFonts w:ascii="Times New Roman"/>
              </w:rPr>
            </w:pPr>
            <w:r>
              <w:rPr>
                <w:rStyle w:val="61"/>
                <w:rFonts w:ascii="Times New Roman"/>
              </w:rPr>
              <w:t>联合发布</w:t>
            </w:r>
          </w:p>
        </w:tc>
      </w:tr>
      <w:tr>
        <w:tblPrEx>
          <w:tblCellMar>
            <w:top w:w="0" w:type="dxa"/>
            <w:left w:w="108" w:type="dxa"/>
            <w:bottom w:w="0" w:type="dxa"/>
            <w:right w:w="108" w:type="dxa"/>
          </w:tblCellMar>
        </w:tblPrEx>
        <w:tc>
          <w:tcPr>
            <w:tcW w:w="5019" w:type="dxa"/>
          </w:tcPr>
          <w:p>
            <w:pPr>
              <w:pStyle w:val="71"/>
              <w:framePr/>
              <w:jc w:val="distribute"/>
              <w:rPr>
                <w:rFonts w:ascii="Times New Roman"/>
                <w:sz w:val="28"/>
                <w:szCs w:val="16"/>
              </w:rPr>
            </w:pPr>
            <w:r>
              <w:rPr>
                <w:rFonts w:ascii="Times New Roman"/>
                <w:sz w:val="28"/>
                <w:szCs w:val="16"/>
              </w:rPr>
              <w:t xml:space="preserve">湖北省市场监督管理局    </w:t>
            </w:r>
          </w:p>
        </w:tc>
        <w:tc>
          <w:tcPr>
            <w:tcW w:w="3453" w:type="dxa"/>
            <w:vMerge w:val="continue"/>
          </w:tcPr>
          <w:p>
            <w:pPr>
              <w:pStyle w:val="71"/>
              <w:framePr/>
              <w:jc w:val="both"/>
              <w:rPr>
                <w:rFonts w:ascii="Times New Roman"/>
              </w:rPr>
            </w:pPr>
          </w:p>
        </w:tc>
      </w:tr>
    </w:tbl>
    <w:tbl>
      <w:tblPr>
        <w:tblStyle w:val="34"/>
        <w:tblpPr w:leftFromText="180" w:rightFromText="180" w:vertAnchor="text" w:horzAnchor="page" w:tblpX="8018" w:tblpY="941"/>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2570"/>
        <w:gridCol w:w="257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rPr>
          <w:trHeight w:val="919" w:hRule="atLeast"/>
        </w:trPr>
        <w:tc>
          <w:tcPr>
            <w:tcW w:w="2570" w:type="dxa"/>
            <w:tcBorders>
              <w:right w:val="nil"/>
            </w:tcBorders>
          </w:tcPr>
          <w:p>
            <w:pPr>
              <w:pStyle w:val="57"/>
              <w:framePr w:w="0" w:hRule="auto" w:wrap="auto" w:vAnchor="margin" w:hAnchor="text" w:xAlign="left" w:yAlign="inline"/>
              <w:rPr>
                <w:rFonts w:ascii="宋体" w:hAnsi="宋体"/>
                <w:sz w:val="28"/>
                <w:szCs w:val="28"/>
              </w:rPr>
            </w:pPr>
            <w:r>
              <w:rPr>
                <w:sz w:val="72"/>
                <w:szCs w:val="72"/>
              </w:rPr>
              <w:t>DB</w:t>
            </w:r>
            <w:r>
              <w:rPr>
                <w:sz w:val="72"/>
                <w:szCs w:val="72"/>
              </w:rPr>
              <w:fldChar w:fldCharType="begin">
                <w:ffData>
                  <w:name w:val="c1"/>
                  <w:enabled/>
                  <w:calcOnExit w:val="0"/>
                  <w:textInput>
                    <w:maxLength w:val="8"/>
                  </w:textInput>
                </w:ffData>
              </w:fldChar>
            </w:r>
            <w:bookmarkStart w:id="12" w:name="c1"/>
            <w:r>
              <w:rPr>
                <w:sz w:val="72"/>
                <w:szCs w:val="72"/>
              </w:rPr>
              <w:instrText xml:space="preserve"> FORMTEXT </w:instrText>
            </w:r>
            <w:r>
              <w:rPr>
                <w:sz w:val="72"/>
                <w:szCs w:val="72"/>
              </w:rPr>
              <w:fldChar w:fldCharType="separate"/>
            </w:r>
            <w:r>
              <w:rPr>
                <w:sz w:val="72"/>
                <w:szCs w:val="72"/>
              </w:rPr>
              <w:t>42</w:t>
            </w:r>
            <w:r>
              <w:rPr>
                <w:sz w:val="72"/>
                <w:szCs w:val="72"/>
              </w:rPr>
              <w:fldChar w:fldCharType="end"/>
            </w:r>
            <w:bookmarkEnd w:id="12"/>
          </w:p>
        </w:tc>
        <w:tc>
          <w:tcPr>
            <w:tcW w:w="2570" w:type="dxa"/>
            <w:tcBorders>
              <w:top w:val="nil"/>
              <w:left w:val="nil"/>
              <w:bottom w:val="nil"/>
            </w:tcBorders>
          </w:tcPr>
          <w:p>
            <w:pPr>
              <w:pStyle w:val="57"/>
              <w:framePr w:w="0" w:hRule="auto" w:wrap="auto" w:vAnchor="margin" w:hAnchor="text" w:xAlign="left" w:yAlign="inline"/>
              <w:rPr>
                <w:sz w:val="72"/>
                <w:szCs w:val="72"/>
              </w:rPr>
            </w:pPr>
          </w:p>
        </w:tc>
      </w:tr>
    </w:tbl>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42"/>
        <w:gridCol w:w="4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42" w:type="dxa"/>
          </w:tcPr>
          <w:p>
            <w:pPr>
              <w:ind w:firstLine="0" w:firstLineChars="0"/>
              <w:rPr>
                <w:rFonts w:ascii="黑体" w:hAnsi="黑体" w:eastAsia="黑体"/>
                <w:szCs w:val="21"/>
              </w:rPr>
            </w:pPr>
            <w:r>
              <w:rPr>
                <w:rFonts w:ascii="黑体" w:hAnsi="黑体" w:eastAsia="黑体"/>
                <w:szCs w:val="21"/>
              </w:rPr>
              <w:t>ICS 91.080</w:t>
            </w:r>
          </w:p>
        </w:tc>
        <w:tc>
          <w:tcPr>
            <w:tcW w:w="4512" w:type="dxa"/>
          </w:tcPr>
          <w:p>
            <w:pPr>
              <w:ind w:firstLine="0" w:firstLineChars="0"/>
              <w:rPr>
                <w:rFonts w:ascii="黑体" w:hAnsi="黑体" w:eastAsia="黑体"/>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42" w:type="dxa"/>
          </w:tcPr>
          <w:p>
            <w:pPr>
              <w:ind w:firstLine="0" w:firstLineChars="0"/>
              <w:rPr>
                <w:rFonts w:ascii="黑体" w:hAnsi="黑体" w:eastAsia="黑体"/>
                <w:szCs w:val="21"/>
              </w:rPr>
            </w:pPr>
            <w:r>
              <w:rPr>
                <w:rFonts w:hint="eastAsia" w:ascii="黑体" w:hAnsi="黑体" w:eastAsia="黑体"/>
                <w:szCs w:val="21"/>
              </w:rPr>
              <w:t>C</w:t>
            </w:r>
            <w:r>
              <w:rPr>
                <w:rFonts w:ascii="黑体" w:hAnsi="黑体" w:eastAsia="黑体"/>
                <w:szCs w:val="21"/>
              </w:rPr>
              <w:t>CS P27</w:t>
            </w:r>
          </w:p>
        </w:tc>
        <w:tc>
          <w:tcPr>
            <w:tcW w:w="4512" w:type="dxa"/>
          </w:tcPr>
          <w:p>
            <w:pPr>
              <w:ind w:firstLine="0" w:firstLineChars="0"/>
              <w:rPr>
                <w:rFonts w:ascii="黑体" w:hAnsi="黑体" w:eastAsia="黑体"/>
                <w:szCs w:val="21"/>
              </w:rPr>
            </w:pPr>
          </w:p>
        </w:tc>
      </w:tr>
    </w:tbl>
    <w:p>
      <w:pPr>
        <w:ind w:firstLine="0" w:firstLineChars="0"/>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17" name="直接连接符 17"/>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qzMc+9cAAAAOAQAA&#10;DwAAAAAAAAABACAAAAA4AAAAZHJzL2Rvd25yZXYueG1sUEsBAhQAFAAAAAgAh07iQKB7WqrLAQAA&#10;YQMAAA4AAAAAAAAAAQAgAAAAPAEAAGRycy9lMm9Eb2MueG1sUEsFBgAAAAAGAAYAWQEAAHkFAAAA&#10;AA==&#10;">
                <v:fill on="f" focussize="0,0"/>
                <v:stroke color="#000000" joinstyle="round"/>
                <v:imagedata o:title=""/>
                <o:lock v:ext="edit" aspectratio="f"/>
                <w10:anchorlock/>
              </v:line>
            </w:pict>
          </mc:Fallback>
        </mc:AlternateContent>
      </w:r>
    </w:p>
    <w:p>
      <w:pPr>
        <w:spacing w:line="400" w:lineRule="exact"/>
        <w:ind w:firstLine="0" w:firstLineChars="0"/>
        <w:jc w:val="center"/>
        <w:rPr>
          <w:rFonts w:ascii="黑体" w:hAnsi="黑体" w:eastAsia="黑体"/>
          <w:sz w:val="32"/>
        </w:rPr>
      </w:pPr>
      <w:bookmarkStart w:id="13" w:name="_Toc185448843"/>
      <w:bookmarkStart w:id="14" w:name="_Toc185448933"/>
      <w:bookmarkStart w:id="15" w:name="_Toc29482"/>
      <w:r>
        <w:rPr>
          <w:rFonts w:hint="eastAsia" w:ascii="黑体" w:hAnsi="黑体" w:eastAsia="黑体"/>
          <w:sz w:val="32"/>
        </w:rPr>
        <w:t>目　</w:t>
      </w:r>
      <w:r>
        <w:rPr>
          <w:rFonts w:ascii="黑体" w:hAnsi="黑体" w:eastAsia="黑体"/>
          <w:sz w:val="32"/>
        </w:rPr>
        <w:t>　</w:t>
      </w:r>
      <w:r>
        <w:rPr>
          <w:rFonts w:hint="eastAsia" w:ascii="黑体" w:hAnsi="黑体" w:eastAsia="黑体"/>
          <w:sz w:val="32"/>
        </w:rPr>
        <w:t>次</w:t>
      </w:r>
    </w:p>
    <w:p>
      <w:pPr>
        <w:ind w:firstLine="0" w:firstLineChars="0"/>
        <w:rPr>
          <w:rFonts w:ascii="宋体" w:hAnsi="宋体" w:cs="Times New Roman"/>
          <w:spacing w:val="320"/>
          <w:kern w:val="0"/>
          <w:szCs w:val="21"/>
        </w:rPr>
      </w:pPr>
    </w:p>
    <w:p>
      <w:pPr>
        <w:pStyle w:val="23"/>
        <w:tabs>
          <w:tab w:val="right" w:leader="dot" w:pos="9344"/>
        </w:tabs>
        <w:ind w:firstLine="0" w:firstLineChars="0"/>
        <w:rPr>
          <w:rStyle w:val="38"/>
        </w:rPr>
      </w:pPr>
      <w:r>
        <w:rPr>
          <w:rStyle w:val="38"/>
        </w:rPr>
        <w:fldChar w:fldCharType="begin"/>
      </w:r>
      <w:r>
        <w:rPr>
          <w:rStyle w:val="38"/>
        </w:rPr>
        <w:instrText xml:space="preserve"> </w:instrText>
      </w:r>
      <w:r>
        <w:rPr>
          <w:rStyle w:val="38"/>
          <w:rFonts w:hint="eastAsia"/>
        </w:rPr>
        <w:instrText xml:space="preserve">TOC \o "1-2" \h \z \u</w:instrText>
      </w:r>
      <w:r>
        <w:rPr>
          <w:rStyle w:val="38"/>
        </w:rPr>
        <w:instrText xml:space="preserve"> </w:instrText>
      </w:r>
      <w:r>
        <w:rPr>
          <w:rStyle w:val="38"/>
        </w:rPr>
        <w:fldChar w:fldCharType="separate"/>
      </w:r>
      <w:r>
        <w:fldChar w:fldCharType="begin"/>
      </w:r>
      <w:r>
        <w:instrText xml:space="preserve"> HYPERLINK \l "_Toc186641443" </w:instrText>
      </w:r>
      <w:r>
        <w:fldChar w:fldCharType="separate"/>
      </w:r>
      <w:r>
        <w:rPr>
          <w:rStyle w:val="38"/>
        </w:rPr>
        <w:t>1</w:t>
      </w:r>
      <w:r>
        <w:rPr>
          <w:rStyle w:val="38"/>
          <w:rFonts w:hint="eastAsia"/>
        </w:rPr>
        <w:t xml:space="preserve"> 范围</w:t>
      </w:r>
      <w:r>
        <w:rPr>
          <w:rStyle w:val="38"/>
        </w:rPr>
        <w:tab/>
      </w:r>
      <w:r>
        <w:rPr>
          <w:rStyle w:val="38"/>
        </w:rPr>
        <w:fldChar w:fldCharType="begin"/>
      </w:r>
      <w:r>
        <w:rPr>
          <w:rStyle w:val="38"/>
        </w:rPr>
        <w:instrText xml:space="preserve"> PAGEREF _Toc186641443 \h </w:instrText>
      </w:r>
      <w:r>
        <w:rPr>
          <w:rStyle w:val="38"/>
        </w:rPr>
        <w:fldChar w:fldCharType="separate"/>
      </w:r>
      <w:r>
        <w:rPr>
          <w:rStyle w:val="38"/>
        </w:rPr>
        <w:t>1</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"_Toc186641444" </w:instrText>
      </w:r>
      <w:r>
        <w:fldChar w:fldCharType="separate"/>
      </w:r>
      <w:r>
        <w:rPr>
          <w:rStyle w:val="38"/>
        </w:rPr>
        <w:t>2</w:t>
      </w:r>
      <w:r>
        <w:rPr>
          <w:rStyle w:val="38"/>
          <w:rFonts w:hint="eastAsia"/>
        </w:rPr>
        <w:t xml:space="preserve"> 规范性引用文件</w:t>
      </w:r>
      <w:r>
        <w:rPr>
          <w:rStyle w:val="38"/>
        </w:rPr>
        <w:tab/>
      </w:r>
      <w:r>
        <w:rPr>
          <w:rStyle w:val="38"/>
        </w:rPr>
        <w:fldChar w:fldCharType="begin"/>
      </w:r>
      <w:r>
        <w:rPr>
          <w:rStyle w:val="38"/>
        </w:rPr>
        <w:instrText xml:space="preserve"> PAGEREF _Toc186641444 \h </w:instrText>
      </w:r>
      <w:r>
        <w:rPr>
          <w:rStyle w:val="38"/>
        </w:rPr>
        <w:fldChar w:fldCharType="separate"/>
      </w:r>
      <w:r>
        <w:rPr>
          <w:rStyle w:val="38"/>
        </w:rPr>
        <w:t>1</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"_Toc186641445" </w:instrText>
      </w:r>
      <w:r>
        <w:fldChar w:fldCharType="separate"/>
      </w:r>
      <w:r>
        <w:rPr>
          <w:rStyle w:val="38"/>
        </w:rPr>
        <w:t>3</w:t>
      </w:r>
      <w:r>
        <w:rPr>
          <w:rStyle w:val="38"/>
          <w:rFonts w:hint="eastAsia"/>
        </w:rPr>
        <w:t xml:space="preserve"> 术语</w:t>
      </w:r>
      <w:r>
        <w:rPr>
          <w:rStyle w:val="38"/>
        </w:rPr>
        <w:tab/>
      </w:r>
      <w:r>
        <w:rPr>
          <w:rStyle w:val="38"/>
        </w:rPr>
        <w:fldChar w:fldCharType="begin"/>
      </w:r>
      <w:r>
        <w:rPr>
          <w:rStyle w:val="38"/>
        </w:rPr>
        <w:instrText xml:space="preserve"> PAGEREF _Toc186641445 \h </w:instrText>
      </w:r>
      <w:r>
        <w:rPr>
          <w:rStyle w:val="38"/>
        </w:rPr>
        <w:fldChar w:fldCharType="separate"/>
      </w:r>
      <w:r>
        <w:rPr>
          <w:rStyle w:val="38"/>
        </w:rPr>
        <w:t>3</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"_Toc186641450" </w:instrText>
      </w:r>
      <w:r>
        <w:fldChar w:fldCharType="separate"/>
      </w:r>
      <w:r>
        <w:rPr>
          <w:rStyle w:val="38"/>
        </w:rPr>
        <w:t>4</w:t>
      </w:r>
      <w:r>
        <w:rPr>
          <w:rStyle w:val="38"/>
          <w:rFonts w:hint="eastAsia"/>
        </w:rPr>
        <w:t xml:space="preserve"> 符号</w:t>
      </w:r>
      <w:r>
        <w:rPr>
          <w:rStyle w:val="38"/>
        </w:rPr>
        <w:tab/>
      </w:r>
      <w:r>
        <w:rPr>
          <w:rStyle w:val="38"/>
        </w:rPr>
        <w:fldChar w:fldCharType="begin"/>
      </w:r>
      <w:r>
        <w:rPr>
          <w:rStyle w:val="38"/>
        </w:rPr>
        <w:instrText xml:space="preserve"> PAGEREF _Toc186641450 \h </w:instrText>
      </w:r>
      <w:r>
        <w:rPr>
          <w:rStyle w:val="38"/>
        </w:rPr>
        <w:fldChar w:fldCharType="separate"/>
      </w:r>
      <w:r>
        <w:rPr>
          <w:rStyle w:val="38"/>
        </w:rPr>
        <w:t>3</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"_Toc186641454" </w:instrText>
      </w:r>
      <w:r>
        <w:fldChar w:fldCharType="separate"/>
      </w:r>
      <w:r>
        <w:rPr>
          <w:rStyle w:val="38"/>
        </w:rPr>
        <w:t>5</w:t>
      </w:r>
      <w:r>
        <w:rPr>
          <w:rStyle w:val="38"/>
          <w:rFonts w:hint="eastAsia"/>
        </w:rPr>
        <w:t xml:space="preserve"> 基本规定</w:t>
      </w:r>
      <w:r>
        <w:rPr>
          <w:rStyle w:val="38"/>
        </w:rPr>
        <w:tab/>
      </w:r>
      <w:r>
        <w:rPr>
          <w:rStyle w:val="38"/>
        </w:rPr>
        <w:fldChar w:fldCharType="begin"/>
      </w:r>
      <w:r>
        <w:rPr>
          <w:rStyle w:val="38"/>
        </w:rPr>
        <w:instrText xml:space="preserve"> PAGEREF _Toc186641454 \h </w:instrText>
      </w:r>
      <w:r>
        <w:rPr>
          <w:rStyle w:val="38"/>
        </w:rPr>
        <w:fldChar w:fldCharType="separate"/>
      </w:r>
      <w:r>
        <w:rPr>
          <w:rStyle w:val="38"/>
        </w:rPr>
        <w:t>5</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"_Toc186641466" </w:instrText>
      </w:r>
      <w:r>
        <w:fldChar w:fldCharType="separate"/>
      </w:r>
      <w:r>
        <w:rPr>
          <w:rStyle w:val="38"/>
        </w:rPr>
        <w:t>6</w:t>
      </w:r>
      <w:r>
        <w:rPr>
          <w:rStyle w:val="38"/>
          <w:rFonts w:hint="eastAsia"/>
        </w:rPr>
        <w:t xml:space="preserve"> 材料</w:t>
      </w:r>
      <w:r>
        <w:rPr>
          <w:rStyle w:val="38"/>
        </w:rPr>
        <w:tab/>
      </w:r>
      <w:r>
        <w:rPr>
          <w:rStyle w:val="38"/>
        </w:rPr>
        <w:fldChar w:fldCharType="begin"/>
      </w:r>
      <w:r>
        <w:rPr>
          <w:rStyle w:val="38"/>
        </w:rPr>
        <w:instrText xml:space="preserve"> PAGEREF _Toc186641466 \h </w:instrText>
      </w:r>
      <w:r>
        <w:rPr>
          <w:rStyle w:val="38"/>
        </w:rPr>
        <w:fldChar w:fldCharType="separate"/>
      </w:r>
      <w:r>
        <w:rPr>
          <w:rStyle w:val="38"/>
        </w:rPr>
        <w:t>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"_Toc186641467" </w:instrText>
      </w:r>
      <w:r>
        <w:fldChar w:fldCharType="separate"/>
      </w:r>
      <w:r>
        <w:rPr>
          <w:rStyle w:val="38"/>
        </w:rPr>
        <w:t>6.1</w:t>
      </w:r>
      <w:r>
        <w:rPr>
          <w:rStyle w:val="38"/>
          <w:rFonts w:hint="eastAsia"/>
        </w:rPr>
        <w:t xml:space="preserve"> 钢材</w:t>
      </w:r>
      <w:r>
        <w:rPr>
          <w:rStyle w:val="38"/>
        </w:rPr>
        <w:tab/>
      </w:r>
      <w:r>
        <w:rPr>
          <w:rStyle w:val="38"/>
        </w:rPr>
        <w:fldChar w:fldCharType="begin"/>
      </w:r>
      <w:r>
        <w:rPr>
          <w:rStyle w:val="38"/>
        </w:rPr>
        <w:instrText xml:space="preserve"> PAGEREF _Toc186641467 \h </w:instrText>
      </w:r>
      <w:r>
        <w:rPr>
          <w:rStyle w:val="38"/>
        </w:rPr>
        <w:fldChar w:fldCharType="separate"/>
      </w:r>
      <w:r>
        <w:rPr>
          <w:rStyle w:val="38"/>
        </w:rPr>
        <w:t>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"_Toc186641468" </w:instrText>
      </w:r>
      <w:r>
        <w:fldChar w:fldCharType="separate"/>
      </w:r>
      <w:r>
        <w:rPr>
          <w:rStyle w:val="38"/>
        </w:rPr>
        <w:t>6.2</w:t>
      </w:r>
      <w:r>
        <w:rPr>
          <w:rStyle w:val="38"/>
          <w:rFonts w:hint="eastAsia"/>
        </w:rPr>
        <w:t xml:space="preserve"> 钢筋</w:t>
      </w:r>
      <w:r>
        <w:rPr>
          <w:rStyle w:val="38"/>
        </w:rPr>
        <w:tab/>
      </w:r>
      <w:r>
        <w:rPr>
          <w:rStyle w:val="38"/>
        </w:rPr>
        <w:fldChar w:fldCharType="begin"/>
      </w:r>
      <w:r>
        <w:rPr>
          <w:rStyle w:val="38"/>
        </w:rPr>
        <w:instrText xml:space="preserve"> PAGEREF _Toc186641468 \h </w:instrText>
      </w:r>
      <w:r>
        <w:rPr>
          <w:rStyle w:val="38"/>
        </w:rPr>
        <w:fldChar w:fldCharType="separate"/>
      </w:r>
      <w:r>
        <w:rPr>
          <w:rStyle w:val="38"/>
        </w:rPr>
        <w:t>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"_Toc186641469" </w:instrText>
      </w:r>
      <w:r>
        <w:fldChar w:fldCharType="separate"/>
      </w:r>
      <w:r>
        <w:rPr>
          <w:rStyle w:val="38"/>
        </w:rPr>
        <w:t>6.3</w:t>
      </w:r>
      <w:r>
        <w:rPr>
          <w:rStyle w:val="38"/>
          <w:rFonts w:hint="eastAsia"/>
        </w:rPr>
        <w:t xml:space="preserve"> 混凝土</w:t>
      </w:r>
      <w:r>
        <w:rPr>
          <w:rStyle w:val="38"/>
        </w:rPr>
        <w:tab/>
      </w:r>
      <w:r>
        <w:rPr>
          <w:rStyle w:val="38"/>
        </w:rPr>
        <w:fldChar w:fldCharType="begin"/>
      </w:r>
      <w:r>
        <w:rPr>
          <w:rStyle w:val="38"/>
        </w:rPr>
        <w:instrText xml:space="preserve"> PAGEREF _Toc186641469 \h </w:instrText>
      </w:r>
      <w:r>
        <w:rPr>
          <w:rStyle w:val="38"/>
        </w:rPr>
        <w:fldChar w:fldCharType="separate"/>
      </w:r>
      <w:r>
        <w:rPr>
          <w:rStyle w:val="38"/>
        </w:rPr>
        <w:t>8</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"_Toc186641470" </w:instrText>
      </w:r>
      <w:r>
        <w:fldChar w:fldCharType="separate"/>
      </w:r>
      <w:r>
        <w:rPr>
          <w:rStyle w:val="38"/>
        </w:rPr>
        <w:t>6.4</w:t>
      </w:r>
      <w:r>
        <w:rPr>
          <w:rStyle w:val="38"/>
          <w:rFonts w:hint="eastAsia"/>
        </w:rPr>
        <w:t xml:space="preserve"> 连接材料</w:t>
      </w:r>
      <w:r>
        <w:rPr>
          <w:rStyle w:val="38"/>
        </w:rPr>
        <w:tab/>
      </w:r>
      <w:r>
        <w:rPr>
          <w:rStyle w:val="38"/>
        </w:rPr>
        <w:fldChar w:fldCharType="begin"/>
      </w:r>
      <w:r>
        <w:rPr>
          <w:rStyle w:val="38"/>
        </w:rPr>
        <w:instrText xml:space="preserve"> PAGEREF _Toc186641470 \h </w:instrText>
      </w:r>
      <w:r>
        <w:rPr>
          <w:rStyle w:val="38"/>
        </w:rPr>
        <w:fldChar w:fldCharType="separate"/>
      </w:r>
      <w:r>
        <w:rPr>
          <w:rStyle w:val="38"/>
        </w:rPr>
        <w:t>8</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"_Toc186641471" </w:instrText>
      </w:r>
      <w:r>
        <w:fldChar w:fldCharType="separate"/>
      </w:r>
      <w:r>
        <w:rPr>
          <w:rStyle w:val="38"/>
        </w:rPr>
        <w:t>7</w:t>
      </w:r>
      <w:r>
        <w:rPr>
          <w:rStyle w:val="38"/>
          <w:rFonts w:hint="eastAsia"/>
        </w:rPr>
        <w:t xml:space="preserve"> 作用和作用组合</w:t>
      </w:r>
      <w:r>
        <w:rPr>
          <w:rStyle w:val="38"/>
        </w:rPr>
        <w:tab/>
      </w:r>
      <w:r>
        <w:rPr>
          <w:rStyle w:val="38"/>
        </w:rPr>
        <w:fldChar w:fldCharType="begin"/>
      </w:r>
      <w:r>
        <w:rPr>
          <w:rStyle w:val="38"/>
        </w:rPr>
        <w:instrText xml:space="preserve"> PAGEREF _Toc186641471 \h </w:instrText>
      </w:r>
      <w:r>
        <w:rPr>
          <w:rStyle w:val="38"/>
        </w:rPr>
        <w:fldChar w:fldCharType="separate"/>
      </w:r>
      <w:r>
        <w:rPr>
          <w:rStyle w:val="38"/>
        </w:rPr>
        <w:t>8</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"_Toc186641472" </w:instrText>
      </w:r>
      <w:r>
        <w:fldChar w:fldCharType="separate"/>
      </w:r>
      <w:r>
        <w:rPr>
          <w:rStyle w:val="38"/>
        </w:rPr>
        <w:t>7.1</w:t>
      </w:r>
      <w:r>
        <w:rPr>
          <w:rStyle w:val="38"/>
          <w:rFonts w:hint="eastAsia"/>
        </w:rPr>
        <w:t xml:space="preserve"> 一般规定</w:t>
      </w:r>
      <w:r>
        <w:rPr>
          <w:rStyle w:val="38"/>
        </w:rPr>
        <w:tab/>
      </w:r>
      <w:r>
        <w:rPr>
          <w:rStyle w:val="38"/>
        </w:rPr>
        <w:fldChar w:fldCharType="begin"/>
      </w:r>
      <w:r>
        <w:rPr>
          <w:rStyle w:val="38"/>
        </w:rPr>
        <w:instrText xml:space="preserve"> PAGEREF _Toc186641472 \h </w:instrText>
      </w:r>
      <w:r>
        <w:rPr>
          <w:rStyle w:val="38"/>
        </w:rPr>
        <w:fldChar w:fldCharType="separate"/>
      </w:r>
      <w:r>
        <w:rPr>
          <w:rStyle w:val="38"/>
        </w:rPr>
        <w:t>9</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"_Toc186641473" </w:instrText>
      </w:r>
      <w:r>
        <w:fldChar w:fldCharType="separate"/>
      </w:r>
      <w:r>
        <w:rPr>
          <w:rStyle w:val="38"/>
        </w:rPr>
        <w:t>7.2</w:t>
      </w:r>
      <w:r>
        <w:rPr>
          <w:rStyle w:val="38"/>
          <w:rFonts w:hint="eastAsia"/>
        </w:rPr>
        <w:t xml:space="preserve"> 永久作用</w:t>
      </w:r>
      <w:r>
        <w:rPr>
          <w:rStyle w:val="38"/>
        </w:rPr>
        <w:tab/>
      </w:r>
      <w:r>
        <w:rPr>
          <w:rStyle w:val="38"/>
        </w:rPr>
        <w:fldChar w:fldCharType="begin"/>
      </w:r>
      <w:r>
        <w:rPr>
          <w:rStyle w:val="38"/>
        </w:rPr>
        <w:instrText xml:space="preserve"> PAGEREF _Toc186641473 \h </w:instrText>
      </w:r>
      <w:r>
        <w:rPr>
          <w:rStyle w:val="38"/>
        </w:rPr>
        <w:fldChar w:fldCharType="separate"/>
      </w:r>
      <w:r>
        <w:rPr>
          <w:rStyle w:val="38"/>
        </w:rPr>
        <w:t>9</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"_Toc186641474" </w:instrText>
      </w:r>
      <w:r>
        <w:fldChar w:fldCharType="separate"/>
      </w:r>
      <w:r>
        <w:rPr>
          <w:rStyle w:val="38"/>
        </w:rPr>
        <w:t>7.3</w:t>
      </w:r>
      <w:r>
        <w:rPr>
          <w:rStyle w:val="38"/>
          <w:rFonts w:hint="eastAsia"/>
        </w:rPr>
        <w:t xml:space="preserve"> 楼面和屋面活荷载</w:t>
      </w:r>
      <w:r>
        <w:rPr>
          <w:rStyle w:val="38"/>
        </w:rPr>
        <w:tab/>
      </w:r>
      <w:r>
        <w:rPr>
          <w:rStyle w:val="38"/>
        </w:rPr>
        <w:fldChar w:fldCharType="begin"/>
      </w:r>
      <w:r>
        <w:rPr>
          <w:rStyle w:val="38"/>
        </w:rPr>
        <w:instrText xml:space="preserve"> PAGEREF _Toc186641474 \h </w:instrText>
      </w:r>
      <w:r>
        <w:rPr>
          <w:rStyle w:val="38"/>
        </w:rPr>
        <w:fldChar w:fldCharType="separate"/>
      </w:r>
      <w:r>
        <w:rPr>
          <w:rStyle w:val="38"/>
        </w:rPr>
        <w:t>9</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"_Toc186641475" </w:instrText>
      </w:r>
      <w:r>
        <w:fldChar w:fldCharType="separate"/>
      </w:r>
      <w:r>
        <w:rPr>
          <w:rStyle w:val="38"/>
        </w:rPr>
        <w:t>7.4</w:t>
      </w:r>
      <w:r>
        <w:rPr>
          <w:rStyle w:val="38"/>
          <w:rFonts w:hint="eastAsia"/>
        </w:rPr>
        <w:t xml:space="preserve"> 风荷载</w:t>
      </w:r>
      <w:r>
        <w:rPr>
          <w:rStyle w:val="38"/>
        </w:rPr>
        <w:tab/>
      </w:r>
      <w:r>
        <w:rPr>
          <w:rStyle w:val="38"/>
        </w:rPr>
        <w:fldChar w:fldCharType="begin"/>
      </w:r>
      <w:r>
        <w:rPr>
          <w:rStyle w:val="38"/>
        </w:rPr>
        <w:instrText xml:space="preserve"> PAGEREF _Toc186641475 \h </w:instrText>
      </w:r>
      <w:r>
        <w:rPr>
          <w:rStyle w:val="38"/>
        </w:rPr>
        <w:fldChar w:fldCharType="separate"/>
      </w:r>
      <w:r>
        <w:rPr>
          <w:rStyle w:val="38"/>
        </w:rPr>
        <w:t>9</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"_Toc186641476" </w:instrText>
      </w:r>
      <w:r>
        <w:fldChar w:fldCharType="separate"/>
      </w:r>
      <w:r>
        <w:rPr>
          <w:rStyle w:val="38"/>
        </w:rPr>
        <w:t>7.5</w:t>
      </w:r>
      <w:r>
        <w:rPr>
          <w:rStyle w:val="38"/>
          <w:rFonts w:hint="eastAsia"/>
        </w:rPr>
        <w:t xml:space="preserve"> 地震作用</w:t>
      </w:r>
      <w:r>
        <w:rPr>
          <w:rStyle w:val="38"/>
        </w:rPr>
        <w:tab/>
      </w:r>
      <w:r>
        <w:rPr>
          <w:rStyle w:val="38"/>
        </w:rPr>
        <w:fldChar w:fldCharType="begin"/>
      </w:r>
      <w:r>
        <w:rPr>
          <w:rStyle w:val="38"/>
        </w:rPr>
        <w:instrText xml:space="preserve"> PAGEREF _Toc186641476 \h </w:instrText>
      </w:r>
      <w:r>
        <w:rPr>
          <w:rStyle w:val="38"/>
        </w:rPr>
        <w:fldChar w:fldCharType="separate"/>
      </w:r>
      <w:r>
        <w:rPr>
          <w:rStyle w:val="38"/>
        </w:rPr>
        <w:t>10</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"_Toc186641477" </w:instrText>
      </w:r>
      <w:r>
        <w:fldChar w:fldCharType="separate"/>
      </w:r>
      <w:r>
        <w:rPr>
          <w:rStyle w:val="38"/>
        </w:rPr>
        <w:t>7.6</w:t>
      </w:r>
      <w:r>
        <w:rPr>
          <w:rStyle w:val="38"/>
          <w:rFonts w:hint="eastAsia"/>
        </w:rPr>
        <w:t xml:space="preserve"> 温度作用</w:t>
      </w:r>
      <w:r>
        <w:rPr>
          <w:rStyle w:val="38"/>
        </w:rPr>
        <w:tab/>
      </w:r>
      <w:r>
        <w:rPr>
          <w:rStyle w:val="38"/>
        </w:rPr>
        <w:fldChar w:fldCharType="begin"/>
      </w:r>
      <w:r>
        <w:rPr>
          <w:rStyle w:val="38"/>
        </w:rPr>
        <w:instrText xml:space="preserve"> PAGEREF _Toc186641477 \h </w:instrText>
      </w:r>
      <w:r>
        <w:rPr>
          <w:rStyle w:val="38"/>
        </w:rPr>
        <w:fldChar w:fldCharType="separate"/>
      </w:r>
      <w:r>
        <w:rPr>
          <w:rStyle w:val="38"/>
        </w:rPr>
        <w:t>10</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"_Toc186641478" </w:instrText>
      </w:r>
      <w:r>
        <w:fldChar w:fldCharType="separate"/>
      </w:r>
      <w:r>
        <w:rPr>
          <w:rStyle w:val="38"/>
        </w:rPr>
        <w:t>7.7</w:t>
      </w:r>
      <w:r>
        <w:rPr>
          <w:rStyle w:val="38"/>
          <w:rFonts w:hint="eastAsia"/>
        </w:rPr>
        <w:t xml:space="preserve"> 作用组合</w:t>
      </w:r>
      <w:r>
        <w:rPr>
          <w:rStyle w:val="38"/>
        </w:rPr>
        <w:tab/>
      </w:r>
      <w:r>
        <w:rPr>
          <w:rStyle w:val="38"/>
        </w:rPr>
        <w:fldChar w:fldCharType="begin"/>
      </w:r>
      <w:r>
        <w:rPr>
          <w:rStyle w:val="38"/>
        </w:rPr>
        <w:instrText xml:space="preserve"> PAGEREF _Toc186641478 \h </w:instrText>
      </w:r>
      <w:r>
        <w:rPr>
          <w:rStyle w:val="38"/>
        </w:rPr>
        <w:fldChar w:fldCharType="separate"/>
      </w:r>
      <w:r>
        <w:rPr>
          <w:rStyle w:val="38"/>
        </w:rPr>
        <w:t>10</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"_Toc186641479" </w:instrText>
      </w:r>
      <w:r>
        <w:fldChar w:fldCharType="separate"/>
      </w:r>
      <w:r>
        <w:rPr>
          <w:rStyle w:val="38"/>
        </w:rPr>
        <w:t>8</w:t>
      </w:r>
      <w:r>
        <w:rPr>
          <w:rStyle w:val="38"/>
          <w:rFonts w:hint="eastAsia"/>
        </w:rPr>
        <w:t xml:space="preserve"> 结构分析</w:t>
      </w:r>
      <w:r>
        <w:rPr>
          <w:rStyle w:val="38"/>
        </w:rPr>
        <w:tab/>
      </w:r>
      <w:r>
        <w:rPr>
          <w:rStyle w:val="38"/>
        </w:rPr>
        <w:fldChar w:fldCharType="begin"/>
      </w:r>
      <w:r>
        <w:rPr>
          <w:rStyle w:val="38"/>
        </w:rPr>
        <w:instrText xml:space="preserve"> PAGEREF _Toc186641479 \h </w:instrText>
      </w:r>
      <w:r>
        <w:rPr>
          <w:rStyle w:val="38"/>
        </w:rPr>
        <w:fldChar w:fldCharType="separate"/>
      </w:r>
      <w:r>
        <w:rPr>
          <w:rStyle w:val="38"/>
        </w:rPr>
        <w:t>11</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"_Toc186641480" </w:instrText>
      </w:r>
      <w:r>
        <w:fldChar w:fldCharType="separate"/>
      </w:r>
      <w:r>
        <w:rPr>
          <w:rStyle w:val="38"/>
        </w:rPr>
        <w:t>8.1</w:t>
      </w:r>
      <w:r>
        <w:rPr>
          <w:rStyle w:val="38"/>
          <w:rFonts w:hint="eastAsia"/>
        </w:rPr>
        <w:t xml:space="preserve"> 一般规定</w:t>
      </w:r>
      <w:r>
        <w:rPr>
          <w:rStyle w:val="38"/>
        </w:rPr>
        <w:tab/>
      </w:r>
      <w:r>
        <w:rPr>
          <w:rStyle w:val="38"/>
        </w:rPr>
        <w:fldChar w:fldCharType="begin"/>
      </w:r>
      <w:r>
        <w:rPr>
          <w:rStyle w:val="38"/>
        </w:rPr>
        <w:instrText xml:space="preserve"> PAGEREF _Toc186641480 \h </w:instrText>
      </w:r>
      <w:r>
        <w:rPr>
          <w:rStyle w:val="38"/>
        </w:rPr>
        <w:fldChar w:fldCharType="separate"/>
      </w:r>
      <w:r>
        <w:rPr>
          <w:rStyle w:val="38"/>
        </w:rPr>
        <w:t>11</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"_Toc186641481" </w:instrText>
      </w:r>
      <w:r>
        <w:fldChar w:fldCharType="separate"/>
      </w:r>
      <w:r>
        <w:rPr>
          <w:rStyle w:val="38"/>
        </w:rPr>
        <w:t>8.2</w:t>
      </w:r>
      <w:r>
        <w:rPr>
          <w:rStyle w:val="38"/>
          <w:rFonts w:hint="eastAsia"/>
        </w:rPr>
        <w:t xml:space="preserve"> 分析模型</w:t>
      </w:r>
      <w:r>
        <w:rPr>
          <w:rStyle w:val="38"/>
        </w:rPr>
        <w:tab/>
      </w:r>
      <w:r>
        <w:rPr>
          <w:rStyle w:val="38"/>
        </w:rPr>
        <w:fldChar w:fldCharType="begin"/>
      </w:r>
      <w:r>
        <w:rPr>
          <w:rStyle w:val="38"/>
        </w:rPr>
        <w:instrText xml:space="preserve"> PAGEREF _Toc186641481 \h </w:instrText>
      </w:r>
      <w:r>
        <w:rPr>
          <w:rStyle w:val="38"/>
        </w:rPr>
        <w:fldChar w:fldCharType="separate"/>
      </w:r>
      <w:r>
        <w:rPr>
          <w:rStyle w:val="38"/>
        </w:rPr>
        <w:t>11</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"_Toc186641482" </w:instrText>
      </w:r>
      <w:r>
        <w:fldChar w:fldCharType="separate"/>
      </w:r>
      <w:r>
        <w:rPr>
          <w:rStyle w:val="38"/>
        </w:rPr>
        <w:t>8.3</w:t>
      </w:r>
      <w:r>
        <w:rPr>
          <w:rStyle w:val="38"/>
          <w:rFonts w:hint="eastAsia"/>
        </w:rPr>
        <w:t xml:space="preserve"> 弹性分析</w:t>
      </w:r>
      <w:r>
        <w:rPr>
          <w:rStyle w:val="38"/>
        </w:rPr>
        <w:tab/>
      </w:r>
      <w:r>
        <w:rPr>
          <w:rStyle w:val="38"/>
        </w:rPr>
        <w:fldChar w:fldCharType="begin"/>
      </w:r>
      <w:r>
        <w:rPr>
          <w:rStyle w:val="38"/>
        </w:rPr>
        <w:instrText xml:space="preserve"> PAGEREF _Toc186641482 \h </w:instrText>
      </w:r>
      <w:r>
        <w:rPr>
          <w:rStyle w:val="38"/>
        </w:rPr>
        <w:fldChar w:fldCharType="separate"/>
      </w:r>
      <w:r>
        <w:rPr>
          <w:rStyle w:val="38"/>
        </w:rPr>
        <w:t>12</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"_Toc186641483" </w:instrText>
      </w:r>
      <w:r>
        <w:fldChar w:fldCharType="separate"/>
      </w:r>
      <w:r>
        <w:rPr>
          <w:rStyle w:val="38"/>
        </w:rPr>
        <w:t>8.4</w:t>
      </w:r>
      <w:r>
        <w:rPr>
          <w:rStyle w:val="38"/>
          <w:rFonts w:hint="eastAsia"/>
        </w:rPr>
        <w:t xml:space="preserve"> 弹塑性分析</w:t>
      </w:r>
      <w:r>
        <w:rPr>
          <w:rStyle w:val="38"/>
        </w:rPr>
        <w:tab/>
      </w:r>
      <w:r>
        <w:rPr>
          <w:rStyle w:val="38"/>
        </w:rPr>
        <w:fldChar w:fldCharType="begin"/>
      </w:r>
      <w:r>
        <w:rPr>
          <w:rStyle w:val="38"/>
        </w:rPr>
        <w:instrText xml:space="preserve"> PAGEREF _Toc186641483 \h </w:instrText>
      </w:r>
      <w:r>
        <w:rPr>
          <w:rStyle w:val="38"/>
        </w:rPr>
        <w:fldChar w:fldCharType="separate"/>
      </w:r>
      <w:r>
        <w:rPr>
          <w:rStyle w:val="38"/>
        </w:rPr>
        <w:t>12</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"_Toc186641484" </w:instrText>
      </w:r>
      <w:r>
        <w:fldChar w:fldCharType="separate"/>
      </w:r>
      <w:r>
        <w:rPr>
          <w:rStyle w:val="38"/>
        </w:rPr>
        <w:t>9</w:t>
      </w:r>
      <w:r>
        <w:rPr>
          <w:rStyle w:val="38"/>
          <w:rFonts w:hint="eastAsia"/>
        </w:rPr>
        <w:t xml:space="preserve"> 结构设计</w:t>
      </w:r>
      <w:r>
        <w:rPr>
          <w:rStyle w:val="38"/>
        </w:rPr>
        <w:tab/>
      </w:r>
      <w:r>
        <w:rPr>
          <w:rStyle w:val="38"/>
        </w:rPr>
        <w:fldChar w:fldCharType="begin"/>
      </w:r>
      <w:r>
        <w:rPr>
          <w:rStyle w:val="38"/>
        </w:rPr>
        <w:instrText xml:space="preserve"> PAGEREF _Toc186641484 \h </w:instrText>
      </w:r>
      <w:r>
        <w:rPr>
          <w:rStyle w:val="38"/>
        </w:rPr>
        <w:fldChar w:fldCharType="separate"/>
      </w:r>
      <w:r>
        <w:rPr>
          <w:rStyle w:val="38"/>
        </w:rPr>
        <w:t>13</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"_Toc186641485" </w:instrText>
      </w:r>
      <w:r>
        <w:fldChar w:fldCharType="separate"/>
      </w:r>
      <w:r>
        <w:rPr>
          <w:rStyle w:val="38"/>
        </w:rPr>
        <w:t>9.1</w:t>
      </w:r>
      <w:r>
        <w:rPr>
          <w:rStyle w:val="38"/>
          <w:rFonts w:hint="eastAsia"/>
        </w:rPr>
        <w:t xml:space="preserve"> 一般规定</w:t>
      </w:r>
      <w:r>
        <w:rPr>
          <w:rStyle w:val="38"/>
        </w:rPr>
        <w:tab/>
      </w:r>
      <w:r>
        <w:rPr>
          <w:rStyle w:val="38"/>
        </w:rPr>
        <w:fldChar w:fldCharType="begin"/>
      </w:r>
      <w:r>
        <w:rPr>
          <w:rStyle w:val="38"/>
        </w:rPr>
        <w:instrText xml:space="preserve"> PAGEREF _Toc186641485 \h </w:instrText>
      </w:r>
      <w:r>
        <w:rPr>
          <w:rStyle w:val="38"/>
        </w:rPr>
        <w:fldChar w:fldCharType="separate"/>
      </w:r>
      <w:r>
        <w:rPr>
          <w:rStyle w:val="38"/>
        </w:rPr>
        <w:t>13</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"_Toc186641486" </w:instrText>
      </w:r>
      <w:r>
        <w:fldChar w:fldCharType="separate"/>
      </w:r>
      <w:r>
        <w:rPr>
          <w:rStyle w:val="38"/>
        </w:rPr>
        <w:t>9.2</w:t>
      </w:r>
      <w:r>
        <w:rPr>
          <w:rStyle w:val="38"/>
          <w:rFonts w:hint="eastAsia"/>
        </w:rPr>
        <w:t xml:space="preserve"> 节点构造</w:t>
      </w:r>
      <w:r>
        <w:rPr>
          <w:rStyle w:val="38"/>
        </w:rPr>
        <w:tab/>
      </w:r>
      <w:r>
        <w:rPr>
          <w:rStyle w:val="38"/>
        </w:rPr>
        <w:fldChar w:fldCharType="begin"/>
      </w:r>
      <w:r>
        <w:rPr>
          <w:rStyle w:val="38"/>
        </w:rPr>
        <w:instrText xml:space="preserve"> PAGEREF _Toc186641486 \h </w:instrText>
      </w:r>
      <w:r>
        <w:rPr>
          <w:rStyle w:val="38"/>
        </w:rPr>
        <w:fldChar w:fldCharType="separate"/>
      </w:r>
      <w:r>
        <w:rPr>
          <w:rStyle w:val="38"/>
        </w:rPr>
        <w:t>15</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"_Toc186641487" </w:instrText>
      </w:r>
      <w:r>
        <w:fldChar w:fldCharType="separate"/>
      </w:r>
      <w:r>
        <w:rPr>
          <w:rStyle w:val="38"/>
        </w:rPr>
        <w:t>9.3</w:t>
      </w:r>
      <w:r>
        <w:rPr>
          <w:rStyle w:val="38"/>
          <w:rFonts w:hint="eastAsia"/>
        </w:rPr>
        <w:t xml:space="preserve"> 节点承载力</w:t>
      </w:r>
      <w:r>
        <w:rPr>
          <w:rStyle w:val="38"/>
        </w:rPr>
        <w:tab/>
      </w:r>
      <w:r>
        <w:rPr>
          <w:rStyle w:val="38"/>
        </w:rPr>
        <w:fldChar w:fldCharType="begin"/>
      </w:r>
      <w:r>
        <w:rPr>
          <w:rStyle w:val="38"/>
        </w:rPr>
        <w:instrText xml:space="preserve"> PAGEREF _Toc186641487 \h </w:instrText>
      </w:r>
      <w:r>
        <w:rPr>
          <w:rStyle w:val="38"/>
        </w:rPr>
        <w:fldChar w:fldCharType="separate"/>
      </w:r>
      <w:r>
        <w:rPr>
          <w:rStyle w:val="38"/>
        </w:rPr>
        <w:t>20</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"_Toc186641488" </w:instrText>
      </w:r>
      <w:r>
        <w:fldChar w:fldCharType="separate"/>
      </w:r>
      <w:r>
        <w:rPr>
          <w:rStyle w:val="38"/>
        </w:rPr>
        <w:t>9.4</w:t>
      </w:r>
      <w:r>
        <w:rPr>
          <w:rStyle w:val="38"/>
          <w:rFonts w:hint="eastAsia"/>
        </w:rPr>
        <w:t xml:space="preserve"> 钢筋搭接与锚固</w:t>
      </w:r>
      <w:r>
        <w:rPr>
          <w:rStyle w:val="38"/>
        </w:rPr>
        <w:tab/>
      </w:r>
      <w:r>
        <w:rPr>
          <w:rStyle w:val="38"/>
        </w:rPr>
        <w:fldChar w:fldCharType="begin"/>
      </w:r>
      <w:r>
        <w:rPr>
          <w:rStyle w:val="38"/>
        </w:rPr>
        <w:instrText xml:space="preserve"> PAGEREF _Toc186641488 \h </w:instrText>
      </w:r>
      <w:r>
        <w:rPr>
          <w:rStyle w:val="38"/>
        </w:rPr>
        <w:fldChar w:fldCharType="separate"/>
      </w:r>
      <w:r>
        <w:rPr>
          <w:rStyle w:val="38"/>
        </w:rPr>
        <w:t>24</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"_Toc186641489" </w:instrText>
      </w:r>
      <w:r>
        <w:fldChar w:fldCharType="separate"/>
      </w:r>
      <w:r>
        <w:rPr>
          <w:rStyle w:val="38"/>
        </w:rPr>
        <w:t>9.5</w:t>
      </w:r>
      <w:r>
        <w:rPr>
          <w:rStyle w:val="38"/>
          <w:rFonts w:hint="eastAsia"/>
        </w:rPr>
        <w:t xml:space="preserve"> 钢管柱脚设计</w:t>
      </w:r>
      <w:r>
        <w:rPr>
          <w:rStyle w:val="38"/>
        </w:rPr>
        <w:tab/>
      </w:r>
      <w:r>
        <w:rPr>
          <w:rStyle w:val="38"/>
        </w:rPr>
        <w:fldChar w:fldCharType="begin"/>
      </w:r>
      <w:r>
        <w:rPr>
          <w:rStyle w:val="38"/>
        </w:rPr>
        <w:instrText xml:space="preserve"> PAGEREF _Toc186641489 \h </w:instrText>
      </w:r>
      <w:r>
        <w:rPr>
          <w:rStyle w:val="38"/>
        </w:rPr>
        <w:fldChar w:fldCharType="separate"/>
      </w:r>
      <w:r>
        <w:rPr>
          <w:rStyle w:val="38"/>
        </w:rPr>
        <w:t>25</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"_Toc186641490" </w:instrText>
      </w:r>
      <w:r>
        <w:fldChar w:fldCharType="separate"/>
      </w:r>
      <w:r>
        <w:rPr>
          <w:rStyle w:val="38"/>
        </w:rPr>
        <w:t>10</w:t>
      </w:r>
      <w:r>
        <w:rPr>
          <w:rStyle w:val="38"/>
          <w:rFonts w:hint="eastAsia"/>
        </w:rPr>
        <w:t xml:space="preserve"> 防火和防腐蚀</w:t>
      </w:r>
      <w:r>
        <w:rPr>
          <w:rStyle w:val="38"/>
        </w:rPr>
        <w:tab/>
      </w:r>
      <w:r>
        <w:rPr>
          <w:rStyle w:val="38"/>
        </w:rPr>
        <w:fldChar w:fldCharType="begin"/>
      </w:r>
      <w:r>
        <w:rPr>
          <w:rStyle w:val="38"/>
        </w:rPr>
        <w:instrText xml:space="preserve"> PAGEREF _Toc186641490 \h </w:instrText>
      </w:r>
      <w:r>
        <w:rPr>
          <w:rStyle w:val="38"/>
        </w:rPr>
        <w:fldChar w:fldCharType="separate"/>
      </w:r>
      <w:r>
        <w:rPr>
          <w:rStyle w:val="38"/>
        </w:rPr>
        <w:t>27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"_Toc186641491" </w:instrText>
      </w:r>
      <w:r>
        <w:fldChar w:fldCharType="separate"/>
      </w:r>
      <w:r>
        <w:rPr>
          <w:rStyle w:val="38"/>
        </w:rPr>
        <w:t>10.1</w:t>
      </w:r>
      <w:r>
        <w:rPr>
          <w:rStyle w:val="38"/>
          <w:rFonts w:hint="eastAsia"/>
        </w:rPr>
        <w:t xml:space="preserve"> 一般规定</w:t>
      </w:r>
      <w:r>
        <w:rPr>
          <w:rStyle w:val="38"/>
        </w:rPr>
        <w:tab/>
      </w:r>
      <w:r>
        <w:rPr>
          <w:rStyle w:val="38"/>
        </w:rPr>
        <w:fldChar w:fldCharType="begin"/>
      </w:r>
      <w:r>
        <w:rPr>
          <w:rStyle w:val="38"/>
        </w:rPr>
        <w:instrText xml:space="preserve"> PAGEREF _Toc186641491 \h </w:instrText>
      </w:r>
      <w:r>
        <w:rPr>
          <w:rStyle w:val="38"/>
        </w:rPr>
        <w:fldChar w:fldCharType="separate"/>
      </w:r>
      <w:r>
        <w:rPr>
          <w:rStyle w:val="38"/>
        </w:rPr>
        <w:t>27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"_Toc186641492" </w:instrText>
      </w:r>
      <w:r>
        <w:fldChar w:fldCharType="separate"/>
      </w:r>
      <w:r>
        <w:rPr>
          <w:rStyle w:val="38"/>
        </w:rPr>
        <w:t>10.2</w:t>
      </w:r>
      <w:r>
        <w:rPr>
          <w:rStyle w:val="38"/>
          <w:rFonts w:hint="eastAsia"/>
        </w:rPr>
        <w:t xml:space="preserve"> 耐火设计规定</w:t>
      </w:r>
      <w:r>
        <w:rPr>
          <w:rStyle w:val="38"/>
        </w:rPr>
        <w:tab/>
      </w:r>
      <w:r>
        <w:rPr>
          <w:rStyle w:val="38"/>
        </w:rPr>
        <w:fldChar w:fldCharType="begin"/>
      </w:r>
      <w:r>
        <w:rPr>
          <w:rStyle w:val="38"/>
        </w:rPr>
        <w:instrText xml:space="preserve"> PAGEREF _Toc186641492 \h </w:instrText>
      </w:r>
      <w:r>
        <w:rPr>
          <w:rStyle w:val="38"/>
        </w:rPr>
        <w:fldChar w:fldCharType="separate"/>
      </w:r>
      <w:r>
        <w:rPr>
          <w:rStyle w:val="38"/>
        </w:rPr>
        <w:t>27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"_Toc186641493" </w:instrText>
      </w:r>
      <w:r>
        <w:fldChar w:fldCharType="separate"/>
      </w:r>
      <w:r>
        <w:rPr>
          <w:rStyle w:val="38"/>
        </w:rPr>
        <w:t>10.3</w:t>
      </w:r>
      <w:r>
        <w:rPr>
          <w:rStyle w:val="38"/>
          <w:rFonts w:hint="eastAsia"/>
        </w:rPr>
        <w:t xml:space="preserve"> 防火构造要求</w:t>
      </w:r>
      <w:r>
        <w:rPr>
          <w:rStyle w:val="38"/>
        </w:rPr>
        <w:tab/>
      </w:r>
      <w:r>
        <w:rPr>
          <w:rStyle w:val="38"/>
        </w:rPr>
        <w:fldChar w:fldCharType="begin"/>
      </w:r>
      <w:r>
        <w:rPr>
          <w:rStyle w:val="38"/>
        </w:rPr>
        <w:instrText xml:space="preserve"> PAGEREF _Toc186641493 \h </w:instrText>
      </w:r>
      <w:r>
        <w:rPr>
          <w:rStyle w:val="38"/>
        </w:rPr>
        <w:fldChar w:fldCharType="separate"/>
      </w:r>
      <w:r>
        <w:rPr>
          <w:rStyle w:val="38"/>
        </w:rPr>
        <w:t>27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"_Toc186641494" </w:instrText>
      </w:r>
      <w:r>
        <w:fldChar w:fldCharType="separate"/>
      </w:r>
      <w:r>
        <w:rPr>
          <w:rStyle w:val="38"/>
        </w:rPr>
        <w:t>10.4</w:t>
      </w:r>
      <w:r>
        <w:rPr>
          <w:rStyle w:val="38"/>
          <w:rFonts w:hint="eastAsia"/>
        </w:rPr>
        <w:t xml:space="preserve"> 防腐设计规定</w:t>
      </w:r>
      <w:r>
        <w:rPr>
          <w:rStyle w:val="38"/>
        </w:rPr>
        <w:tab/>
      </w:r>
      <w:r>
        <w:rPr>
          <w:rStyle w:val="38"/>
        </w:rPr>
        <w:fldChar w:fldCharType="begin"/>
      </w:r>
      <w:r>
        <w:rPr>
          <w:rStyle w:val="38"/>
        </w:rPr>
        <w:instrText xml:space="preserve"> PAGEREF _Toc186641494 \h </w:instrText>
      </w:r>
      <w:r>
        <w:rPr>
          <w:rStyle w:val="38"/>
        </w:rPr>
        <w:fldChar w:fldCharType="separate"/>
      </w:r>
      <w:r>
        <w:rPr>
          <w:rStyle w:val="38"/>
        </w:rPr>
        <w:t>27</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"_Toc186641495" </w:instrText>
      </w:r>
      <w:r>
        <w:fldChar w:fldCharType="separate"/>
      </w:r>
      <w:r>
        <w:rPr>
          <w:rStyle w:val="38"/>
        </w:rPr>
        <w:t>10.5</w:t>
      </w:r>
      <w:r>
        <w:rPr>
          <w:rStyle w:val="38"/>
          <w:rFonts w:hint="eastAsia"/>
        </w:rPr>
        <w:t xml:space="preserve"> 钢构件防腐使用维护</w:t>
      </w:r>
      <w:r>
        <w:rPr>
          <w:rStyle w:val="38"/>
        </w:rPr>
        <w:tab/>
      </w:r>
      <w:r>
        <w:rPr>
          <w:rStyle w:val="38"/>
        </w:rPr>
        <w:fldChar w:fldCharType="begin"/>
      </w:r>
      <w:r>
        <w:rPr>
          <w:rStyle w:val="38"/>
        </w:rPr>
        <w:instrText xml:space="preserve"> PAGEREF _Toc186641495 \h </w:instrText>
      </w:r>
      <w:r>
        <w:rPr>
          <w:rStyle w:val="38"/>
        </w:rPr>
        <w:fldChar w:fldCharType="separate"/>
      </w:r>
      <w:r>
        <w:rPr>
          <w:rStyle w:val="38"/>
        </w:rPr>
        <w:t>28</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"_Toc186641496" </w:instrText>
      </w:r>
      <w:r>
        <w:fldChar w:fldCharType="separate"/>
      </w:r>
      <w:r>
        <w:rPr>
          <w:rStyle w:val="38"/>
        </w:rPr>
        <w:t>11</w:t>
      </w:r>
      <w:r>
        <w:rPr>
          <w:rStyle w:val="38"/>
          <w:rFonts w:hint="eastAsia"/>
        </w:rPr>
        <w:t xml:space="preserve"> 构件制作与运输</w:t>
      </w:r>
      <w:r>
        <w:rPr>
          <w:rStyle w:val="38"/>
        </w:rPr>
        <w:tab/>
      </w:r>
      <w:r>
        <w:rPr>
          <w:rStyle w:val="38"/>
        </w:rPr>
        <w:fldChar w:fldCharType="begin"/>
      </w:r>
      <w:r>
        <w:rPr>
          <w:rStyle w:val="38"/>
        </w:rPr>
        <w:instrText xml:space="preserve"> PAGEREF _Toc186641496 \h </w:instrText>
      </w:r>
      <w:r>
        <w:rPr>
          <w:rStyle w:val="38"/>
        </w:rPr>
        <w:fldChar w:fldCharType="separate"/>
      </w:r>
      <w:r>
        <w:rPr>
          <w:rStyle w:val="38"/>
        </w:rPr>
        <w:t>28</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"_Toc186641497" </w:instrText>
      </w:r>
      <w:r>
        <w:fldChar w:fldCharType="separate"/>
      </w:r>
      <w:r>
        <w:rPr>
          <w:rStyle w:val="38"/>
        </w:rPr>
        <w:t>11.1</w:t>
      </w:r>
      <w:r>
        <w:rPr>
          <w:rStyle w:val="38"/>
          <w:rFonts w:hint="eastAsia"/>
        </w:rPr>
        <w:t xml:space="preserve"> 一般规定</w:t>
      </w:r>
      <w:r>
        <w:rPr>
          <w:rStyle w:val="38"/>
        </w:rPr>
        <w:tab/>
      </w:r>
      <w:r>
        <w:rPr>
          <w:rStyle w:val="38"/>
        </w:rPr>
        <w:fldChar w:fldCharType="begin"/>
      </w:r>
      <w:r>
        <w:rPr>
          <w:rStyle w:val="38"/>
        </w:rPr>
        <w:instrText xml:space="preserve"> PAGEREF _Toc186641497 \h </w:instrText>
      </w:r>
      <w:r>
        <w:rPr>
          <w:rStyle w:val="38"/>
        </w:rPr>
        <w:fldChar w:fldCharType="separate"/>
      </w:r>
      <w:r>
        <w:rPr>
          <w:rStyle w:val="38"/>
        </w:rPr>
        <w:t>28</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"_Toc186641498" </w:instrText>
      </w:r>
      <w:r>
        <w:fldChar w:fldCharType="separate"/>
      </w:r>
      <w:r>
        <w:rPr>
          <w:rStyle w:val="38"/>
        </w:rPr>
        <w:t>11.2</w:t>
      </w:r>
      <w:r>
        <w:rPr>
          <w:rStyle w:val="38"/>
          <w:rFonts w:hint="eastAsia"/>
        </w:rPr>
        <w:t xml:space="preserve"> 材料要求</w:t>
      </w:r>
      <w:r>
        <w:rPr>
          <w:rStyle w:val="38"/>
        </w:rPr>
        <w:tab/>
      </w:r>
      <w:r>
        <w:rPr>
          <w:rStyle w:val="38"/>
        </w:rPr>
        <w:fldChar w:fldCharType="begin"/>
      </w:r>
      <w:r>
        <w:rPr>
          <w:rStyle w:val="38"/>
        </w:rPr>
        <w:instrText xml:space="preserve"> PAGEREF _Toc186641498 \h </w:instrText>
      </w:r>
      <w:r>
        <w:rPr>
          <w:rStyle w:val="38"/>
        </w:rPr>
        <w:fldChar w:fldCharType="separate"/>
      </w:r>
      <w:r>
        <w:rPr>
          <w:rStyle w:val="38"/>
        </w:rPr>
        <w:t>28</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"_Toc186641499" </w:instrText>
      </w:r>
      <w:r>
        <w:fldChar w:fldCharType="separate"/>
      </w:r>
      <w:r>
        <w:rPr>
          <w:rStyle w:val="38"/>
        </w:rPr>
        <w:t>11.3</w:t>
      </w:r>
      <w:r>
        <w:rPr>
          <w:rStyle w:val="38"/>
          <w:rFonts w:hint="eastAsia"/>
        </w:rPr>
        <w:t xml:space="preserve"> 构件制作</w:t>
      </w:r>
      <w:r>
        <w:rPr>
          <w:rStyle w:val="38"/>
        </w:rPr>
        <w:tab/>
      </w:r>
      <w:r>
        <w:rPr>
          <w:rStyle w:val="38"/>
        </w:rPr>
        <w:fldChar w:fldCharType="begin"/>
      </w:r>
      <w:r>
        <w:rPr>
          <w:rStyle w:val="38"/>
        </w:rPr>
        <w:instrText xml:space="preserve"> PAGEREF _Toc186641499 \h </w:instrText>
      </w:r>
      <w:r>
        <w:rPr>
          <w:rStyle w:val="38"/>
        </w:rPr>
        <w:fldChar w:fldCharType="separate"/>
      </w:r>
      <w:r>
        <w:rPr>
          <w:rStyle w:val="38"/>
        </w:rPr>
        <w:t>29</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"_Toc186641500" </w:instrText>
      </w:r>
      <w:r>
        <w:fldChar w:fldCharType="separate"/>
      </w:r>
      <w:r>
        <w:rPr>
          <w:rStyle w:val="38"/>
        </w:rPr>
        <w:t>11.4</w:t>
      </w:r>
      <w:r>
        <w:rPr>
          <w:rStyle w:val="38"/>
          <w:rFonts w:hint="eastAsia"/>
        </w:rPr>
        <w:t xml:space="preserve"> 构件检验</w:t>
      </w:r>
      <w:r>
        <w:rPr>
          <w:rStyle w:val="38"/>
        </w:rPr>
        <w:tab/>
      </w:r>
      <w:r>
        <w:rPr>
          <w:rStyle w:val="38"/>
        </w:rPr>
        <w:fldChar w:fldCharType="begin"/>
      </w:r>
      <w:r>
        <w:rPr>
          <w:rStyle w:val="38"/>
        </w:rPr>
        <w:instrText xml:space="preserve"> PAGEREF _Toc186641500 \h </w:instrText>
      </w:r>
      <w:r>
        <w:rPr>
          <w:rStyle w:val="38"/>
        </w:rPr>
        <w:fldChar w:fldCharType="separate"/>
      </w:r>
      <w:r>
        <w:rPr>
          <w:rStyle w:val="38"/>
        </w:rPr>
        <w:t>29</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"_Toc186641501" </w:instrText>
      </w:r>
      <w:r>
        <w:fldChar w:fldCharType="separate"/>
      </w:r>
      <w:r>
        <w:rPr>
          <w:rStyle w:val="38"/>
        </w:rPr>
        <w:t>11.5</w:t>
      </w:r>
      <w:r>
        <w:rPr>
          <w:rStyle w:val="38"/>
          <w:rFonts w:hint="eastAsia"/>
        </w:rPr>
        <w:t xml:space="preserve"> 构件的包装、运输和堆放</w:t>
      </w:r>
      <w:r>
        <w:rPr>
          <w:rStyle w:val="38"/>
        </w:rPr>
        <w:tab/>
      </w:r>
      <w:r>
        <w:rPr>
          <w:rStyle w:val="38"/>
        </w:rPr>
        <w:fldChar w:fldCharType="begin"/>
      </w:r>
      <w:r>
        <w:rPr>
          <w:rStyle w:val="38"/>
        </w:rPr>
        <w:instrText xml:space="preserve"> PAGEREF _Toc186641501 \h </w:instrText>
      </w:r>
      <w:r>
        <w:rPr>
          <w:rStyle w:val="38"/>
        </w:rPr>
        <w:fldChar w:fldCharType="separate"/>
      </w:r>
      <w:r>
        <w:rPr>
          <w:rStyle w:val="38"/>
        </w:rPr>
        <w:t>30</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"_Toc186641502" </w:instrText>
      </w:r>
      <w:r>
        <w:fldChar w:fldCharType="separate"/>
      </w:r>
      <w:r>
        <w:rPr>
          <w:rStyle w:val="38"/>
        </w:rPr>
        <w:t>12</w:t>
      </w:r>
      <w:r>
        <w:rPr>
          <w:rStyle w:val="38"/>
          <w:rFonts w:hint="eastAsia"/>
        </w:rPr>
        <w:t xml:space="preserve"> 结构施工</w:t>
      </w:r>
      <w:r>
        <w:rPr>
          <w:rStyle w:val="38"/>
        </w:rPr>
        <w:tab/>
      </w:r>
      <w:r>
        <w:rPr>
          <w:rStyle w:val="38"/>
        </w:rPr>
        <w:fldChar w:fldCharType="begin"/>
      </w:r>
      <w:r>
        <w:rPr>
          <w:rStyle w:val="38"/>
        </w:rPr>
        <w:instrText xml:space="preserve"> PAGEREF _Toc186641502 \h </w:instrText>
      </w:r>
      <w:r>
        <w:rPr>
          <w:rStyle w:val="38"/>
        </w:rPr>
        <w:fldChar w:fldCharType="separate"/>
      </w:r>
      <w:r>
        <w:rPr>
          <w:rStyle w:val="38"/>
        </w:rPr>
        <w:t>31</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"_Toc186641503" </w:instrText>
      </w:r>
      <w:r>
        <w:fldChar w:fldCharType="separate"/>
      </w:r>
      <w:r>
        <w:rPr>
          <w:rStyle w:val="38"/>
        </w:rPr>
        <w:t>12.1</w:t>
      </w:r>
      <w:r>
        <w:rPr>
          <w:rStyle w:val="38"/>
          <w:rFonts w:hint="eastAsia"/>
        </w:rPr>
        <w:t xml:space="preserve"> 一般规定</w:t>
      </w:r>
      <w:r>
        <w:rPr>
          <w:rStyle w:val="38"/>
        </w:rPr>
        <w:tab/>
      </w:r>
      <w:r>
        <w:rPr>
          <w:rStyle w:val="38"/>
        </w:rPr>
        <w:fldChar w:fldCharType="begin"/>
      </w:r>
      <w:r>
        <w:rPr>
          <w:rStyle w:val="38"/>
        </w:rPr>
        <w:instrText xml:space="preserve"> PAGEREF _Toc186641503 \h </w:instrText>
      </w:r>
      <w:r>
        <w:rPr>
          <w:rStyle w:val="38"/>
        </w:rPr>
        <w:fldChar w:fldCharType="separate"/>
      </w:r>
      <w:r>
        <w:rPr>
          <w:rStyle w:val="38"/>
        </w:rPr>
        <w:t>31</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"_Toc186641504" </w:instrText>
      </w:r>
      <w:r>
        <w:fldChar w:fldCharType="separate"/>
      </w:r>
      <w:r>
        <w:rPr>
          <w:rStyle w:val="38"/>
        </w:rPr>
        <w:t>12.2</w:t>
      </w:r>
      <w:r>
        <w:rPr>
          <w:rStyle w:val="38"/>
          <w:rFonts w:hint="eastAsia"/>
        </w:rPr>
        <w:t xml:space="preserve"> 施工测量</w:t>
      </w:r>
      <w:r>
        <w:rPr>
          <w:rStyle w:val="38"/>
        </w:rPr>
        <w:tab/>
      </w:r>
      <w:r>
        <w:rPr>
          <w:rStyle w:val="38"/>
        </w:rPr>
        <w:fldChar w:fldCharType="begin"/>
      </w:r>
      <w:r>
        <w:rPr>
          <w:rStyle w:val="38"/>
        </w:rPr>
        <w:instrText xml:space="preserve"> PAGEREF _Toc186641504 \h </w:instrText>
      </w:r>
      <w:r>
        <w:rPr>
          <w:rStyle w:val="38"/>
        </w:rPr>
        <w:fldChar w:fldCharType="separate"/>
      </w:r>
      <w:r>
        <w:rPr>
          <w:rStyle w:val="38"/>
        </w:rPr>
        <w:t>31</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"_Toc186641505" </w:instrText>
      </w:r>
      <w:r>
        <w:fldChar w:fldCharType="separate"/>
      </w:r>
      <w:r>
        <w:rPr>
          <w:rStyle w:val="38"/>
        </w:rPr>
        <w:t>12.3</w:t>
      </w:r>
      <w:r>
        <w:rPr>
          <w:rStyle w:val="38"/>
          <w:rFonts w:hint="eastAsia"/>
        </w:rPr>
        <w:t xml:space="preserve"> 构件吊装</w:t>
      </w:r>
      <w:r>
        <w:rPr>
          <w:rStyle w:val="38"/>
        </w:rPr>
        <w:tab/>
      </w:r>
      <w:r>
        <w:rPr>
          <w:rStyle w:val="38"/>
        </w:rPr>
        <w:fldChar w:fldCharType="begin"/>
      </w:r>
      <w:r>
        <w:rPr>
          <w:rStyle w:val="38"/>
        </w:rPr>
        <w:instrText xml:space="preserve"> PAGEREF _Toc186641505 \h </w:instrText>
      </w:r>
      <w:r>
        <w:rPr>
          <w:rStyle w:val="38"/>
        </w:rPr>
        <w:fldChar w:fldCharType="separate"/>
      </w:r>
      <w:r>
        <w:rPr>
          <w:rStyle w:val="38"/>
        </w:rPr>
        <w:t>32</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"_Toc186641506" </w:instrText>
      </w:r>
      <w:r>
        <w:fldChar w:fldCharType="separate"/>
      </w:r>
      <w:r>
        <w:rPr>
          <w:rStyle w:val="38"/>
        </w:rPr>
        <w:t>12.4</w:t>
      </w:r>
      <w:r>
        <w:rPr>
          <w:rStyle w:val="38"/>
          <w:rFonts w:hint="eastAsia"/>
        </w:rPr>
        <w:t xml:space="preserve"> 安装施工</w:t>
      </w:r>
      <w:r>
        <w:rPr>
          <w:rStyle w:val="38"/>
        </w:rPr>
        <w:tab/>
      </w:r>
      <w:r>
        <w:rPr>
          <w:rStyle w:val="38"/>
        </w:rPr>
        <w:fldChar w:fldCharType="begin"/>
      </w:r>
      <w:r>
        <w:rPr>
          <w:rStyle w:val="38"/>
        </w:rPr>
        <w:instrText xml:space="preserve"> PAGEREF _Toc186641506 \h </w:instrText>
      </w:r>
      <w:r>
        <w:rPr>
          <w:rStyle w:val="38"/>
        </w:rPr>
        <w:fldChar w:fldCharType="separate"/>
      </w:r>
      <w:r>
        <w:rPr>
          <w:rStyle w:val="38"/>
        </w:rPr>
        <w:t>32</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"_Toc186641507" </w:instrText>
      </w:r>
      <w:r>
        <w:fldChar w:fldCharType="separate"/>
      </w:r>
      <w:r>
        <w:rPr>
          <w:rStyle w:val="38"/>
        </w:rPr>
        <w:t>12.5</w:t>
      </w:r>
      <w:r>
        <w:rPr>
          <w:rStyle w:val="38"/>
          <w:rFonts w:hint="eastAsia"/>
        </w:rPr>
        <w:t xml:space="preserve"> 施工安全和环境保护</w:t>
      </w:r>
      <w:r>
        <w:rPr>
          <w:rStyle w:val="38"/>
        </w:rPr>
        <w:tab/>
      </w:r>
      <w:r>
        <w:rPr>
          <w:rStyle w:val="38"/>
        </w:rPr>
        <w:fldChar w:fldCharType="begin"/>
      </w:r>
      <w:r>
        <w:rPr>
          <w:rStyle w:val="38"/>
        </w:rPr>
        <w:instrText xml:space="preserve"> PAGEREF _Toc186641507 \h </w:instrText>
      </w:r>
      <w:r>
        <w:rPr>
          <w:rStyle w:val="38"/>
        </w:rPr>
        <w:fldChar w:fldCharType="separate"/>
      </w:r>
      <w:r>
        <w:rPr>
          <w:rStyle w:val="38"/>
        </w:rPr>
        <w:t>33</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"_Toc186641508" </w:instrText>
      </w:r>
      <w:r>
        <w:fldChar w:fldCharType="separate"/>
      </w:r>
      <w:r>
        <w:rPr>
          <w:rStyle w:val="38"/>
        </w:rPr>
        <w:t>13</w:t>
      </w:r>
      <w:r>
        <w:rPr>
          <w:rStyle w:val="38"/>
          <w:rFonts w:hint="eastAsia"/>
        </w:rPr>
        <w:t xml:space="preserve"> 工程验收</w:t>
      </w:r>
      <w:r>
        <w:rPr>
          <w:rStyle w:val="38"/>
        </w:rPr>
        <w:tab/>
      </w:r>
      <w:r>
        <w:rPr>
          <w:rStyle w:val="38"/>
        </w:rPr>
        <w:fldChar w:fldCharType="begin"/>
      </w:r>
      <w:r>
        <w:rPr>
          <w:rStyle w:val="38"/>
        </w:rPr>
        <w:instrText xml:space="preserve"> PAGEREF _Toc186641508 \h </w:instrText>
      </w:r>
      <w:r>
        <w:rPr>
          <w:rStyle w:val="38"/>
        </w:rPr>
        <w:fldChar w:fldCharType="separate"/>
      </w:r>
      <w:r>
        <w:rPr>
          <w:rStyle w:val="38"/>
        </w:rPr>
        <w:t>34</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"_Toc186641509" </w:instrText>
      </w:r>
      <w:r>
        <w:fldChar w:fldCharType="separate"/>
      </w:r>
      <w:r>
        <w:rPr>
          <w:rStyle w:val="38"/>
        </w:rPr>
        <w:t>13.1</w:t>
      </w:r>
      <w:r>
        <w:rPr>
          <w:rStyle w:val="38"/>
          <w:rFonts w:hint="eastAsia"/>
        </w:rPr>
        <w:t xml:space="preserve"> 一般规定</w:t>
      </w:r>
      <w:r>
        <w:rPr>
          <w:rStyle w:val="38"/>
        </w:rPr>
        <w:tab/>
      </w:r>
      <w:r>
        <w:rPr>
          <w:rStyle w:val="38"/>
        </w:rPr>
        <w:fldChar w:fldCharType="begin"/>
      </w:r>
      <w:r>
        <w:rPr>
          <w:rStyle w:val="38"/>
        </w:rPr>
        <w:instrText xml:space="preserve"> PAGEREF _Toc186641509 \h </w:instrText>
      </w:r>
      <w:r>
        <w:rPr>
          <w:rStyle w:val="38"/>
        </w:rPr>
        <w:fldChar w:fldCharType="separate"/>
      </w:r>
      <w:r>
        <w:rPr>
          <w:rStyle w:val="38"/>
        </w:rPr>
        <w:t>34</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"_Toc186641510" </w:instrText>
      </w:r>
      <w:r>
        <w:fldChar w:fldCharType="separate"/>
      </w:r>
      <w:r>
        <w:rPr>
          <w:rStyle w:val="38"/>
        </w:rPr>
        <w:t>13.2</w:t>
      </w:r>
      <w:r>
        <w:rPr>
          <w:rStyle w:val="38"/>
          <w:rFonts w:hint="eastAsia"/>
        </w:rPr>
        <w:t xml:space="preserve"> 预制构件</w:t>
      </w:r>
      <w:r>
        <w:rPr>
          <w:rStyle w:val="38"/>
        </w:rPr>
        <w:tab/>
      </w:r>
      <w:r>
        <w:rPr>
          <w:rStyle w:val="38"/>
        </w:rPr>
        <w:fldChar w:fldCharType="begin"/>
      </w:r>
      <w:r>
        <w:rPr>
          <w:rStyle w:val="38"/>
        </w:rPr>
        <w:instrText xml:space="preserve"> PAGEREF _Toc186641510 \h </w:instrText>
      </w:r>
      <w:r>
        <w:rPr>
          <w:rStyle w:val="38"/>
        </w:rPr>
        <w:fldChar w:fldCharType="separate"/>
      </w:r>
      <w:r>
        <w:rPr>
          <w:rStyle w:val="38"/>
        </w:rPr>
        <w:t>34</w:t>
      </w:r>
      <w:r>
        <w:rPr>
          <w:rStyle w:val="38"/>
        </w:rPr>
        <w:fldChar w:fldCharType="end"/>
      </w:r>
      <w:r>
        <w:rPr>
          <w:rStyle w:val="38"/>
        </w:rPr>
        <w:fldChar w:fldCharType="end"/>
      </w:r>
    </w:p>
    <w:p>
      <w:pPr>
        <w:pStyle w:val="23"/>
        <w:tabs>
          <w:tab w:val="right" w:leader="dot" w:pos="9344"/>
        </w:tabs>
        <w:spacing w:line="300" w:lineRule="exact"/>
        <w:ind w:left="210" w:firstLine="0" w:firstLineChars="0"/>
        <w:rPr>
          <w:rStyle w:val="38"/>
        </w:rPr>
      </w:pPr>
      <w:r>
        <w:fldChar w:fldCharType="begin"/>
      </w:r>
      <w:r>
        <w:instrText xml:space="preserve"> HYPERLINK \l "_Toc186641511" </w:instrText>
      </w:r>
      <w:r>
        <w:fldChar w:fldCharType="separate"/>
      </w:r>
      <w:r>
        <w:rPr>
          <w:rStyle w:val="38"/>
        </w:rPr>
        <w:t>13.3</w:t>
      </w:r>
      <w:r>
        <w:rPr>
          <w:rStyle w:val="38"/>
          <w:rFonts w:hint="eastAsia"/>
        </w:rPr>
        <w:t xml:space="preserve"> 安装与连接</w:t>
      </w:r>
      <w:r>
        <w:rPr>
          <w:rStyle w:val="38"/>
        </w:rPr>
        <w:tab/>
      </w:r>
      <w:r>
        <w:rPr>
          <w:rStyle w:val="38"/>
        </w:rPr>
        <w:fldChar w:fldCharType="begin"/>
      </w:r>
      <w:r>
        <w:rPr>
          <w:rStyle w:val="38"/>
        </w:rPr>
        <w:instrText xml:space="preserve"> PAGEREF _Toc186641511 \h </w:instrText>
      </w:r>
      <w:r>
        <w:rPr>
          <w:rStyle w:val="38"/>
        </w:rPr>
        <w:fldChar w:fldCharType="separate"/>
      </w:r>
      <w:r>
        <w:rPr>
          <w:rStyle w:val="38"/>
        </w:rPr>
        <w:t>36</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"_Toc186641512" </w:instrText>
      </w:r>
      <w:r>
        <w:fldChar w:fldCharType="separate"/>
      </w:r>
      <w:r>
        <w:rPr>
          <w:rStyle w:val="38"/>
        </w:rPr>
        <w:t>14</w:t>
      </w:r>
      <w:r>
        <w:rPr>
          <w:rStyle w:val="38"/>
          <w:rFonts w:hint="eastAsia"/>
        </w:rPr>
        <w:t xml:space="preserve"> 标准实施及评价</w:t>
      </w:r>
      <w:r>
        <w:rPr>
          <w:rStyle w:val="38"/>
        </w:rPr>
        <w:tab/>
      </w:r>
      <w:r>
        <w:rPr>
          <w:rStyle w:val="38"/>
        </w:rPr>
        <w:fldChar w:fldCharType="begin"/>
      </w:r>
      <w:r>
        <w:rPr>
          <w:rStyle w:val="38"/>
        </w:rPr>
        <w:instrText xml:space="preserve"> PAGEREF _Toc186641512 \h </w:instrText>
      </w:r>
      <w:r>
        <w:rPr>
          <w:rStyle w:val="38"/>
        </w:rPr>
        <w:fldChar w:fldCharType="separate"/>
      </w:r>
      <w:r>
        <w:rPr>
          <w:rStyle w:val="38"/>
        </w:rPr>
        <w:t>39</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"_Toc186641521" </w:instrText>
      </w:r>
      <w:r>
        <w:fldChar w:fldCharType="separate"/>
      </w:r>
      <w:r>
        <w:rPr>
          <w:rStyle w:val="38"/>
          <w:rFonts w:hint="eastAsia"/>
        </w:rPr>
        <w:t>附录</w:t>
      </w:r>
      <w:r>
        <w:rPr>
          <w:rStyle w:val="38"/>
        </w:rPr>
        <w:t xml:space="preserve">A </w:t>
      </w:r>
      <w:r>
        <w:rPr>
          <w:rStyle w:val="38"/>
          <w:rFonts w:hint="eastAsia"/>
        </w:rPr>
        <w:t>（资料性）矩形钢管混凝土柱开孔区域钢板补强选用表</w:t>
      </w:r>
      <w:r>
        <w:rPr>
          <w:rStyle w:val="38"/>
        </w:rPr>
        <w:tab/>
      </w:r>
      <w:r>
        <w:rPr>
          <w:rStyle w:val="38"/>
        </w:rPr>
        <w:fldChar w:fldCharType="begin"/>
      </w:r>
      <w:r>
        <w:rPr>
          <w:rStyle w:val="38"/>
        </w:rPr>
        <w:instrText xml:space="preserve"> PAGEREF _Toc186641521 \h </w:instrText>
      </w:r>
      <w:r>
        <w:rPr>
          <w:rStyle w:val="38"/>
        </w:rPr>
        <w:fldChar w:fldCharType="separate"/>
      </w:r>
      <w:r>
        <w:rPr>
          <w:rStyle w:val="38"/>
        </w:rPr>
        <w:t>40</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"_Toc186641524" </w:instrText>
      </w:r>
      <w:r>
        <w:fldChar w:fldCharType="separate"/>
      </w:r>
      <w:r>
        <w:rPr>
          <w:rStyle w:val="38"/>
          <w:rFonts w:hint="eastAsia"/>
        </w:rPr>
        <w:t>附录</w:t>
      </w:r>
      <w:r>
        <w:rPr>
          <w:rStyle w:val="38"/>
        </w:rPr>
        <w:t xml:space="preserve">B </w:t>
      </w:r>
      <w:r>
        <w:rPr>
          <w:rStyle w:val="38"/>
          <w:rFonts w:hint="eastAsia"/>
        </w:rPr>
        <w:t>（规范性）钢管混凝土构件防火计算方法</w:t>
      </w:r>
      <w:r>
        <w:rPr>
          <w:rStyle w:val="38"/>
        </w:rPr>
        <w:tab/>
      </w:r>
      <w:r>
        <w:rPr>
          <w:rStyle w:val="38"/>
        </w:rPr>
        <w:fldChar w:fldCharType="begin"/>
      </w:r>
      <w:r>
        <w:rPr>
          <w:rStyle w:val="38"/>
        </w:rPr>
        <w:instrText xml:space="preserve"> PAGEREF _Toc186641524 \h </w:instrText>
      </w:r>
      <w:r>
        <w:rPr>
          <w:rStyle w:val="38"/>
        </w:rPr>
        <w:fldChar w:fldCharType="separate"/>
      </w:r>
      <w:r>
        <w:rPr>
          <w:rStyle w:val="38"/>
        </w:rPr>
        <w:t>44</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"_Toc186641530" </w:instrText>
      </w:r>
      <w:r>
        <w:fldChar w:fldCharType="separate"/>
      </w:r>
      <w:r>
        <w:rPr>
          <w:rStyle w:val="38"/>
          <w:rFonts w:hint="eastAsia"/>
        </w:rPr>
        <w:t>附录</w:t>
      </w:r>
      <w:r>
        <w:rPr>
          <w:rStyle w:val="38"/>
        </w:rPr>
        <w:t xml:space="preserve">C </w:t>
      </w:r>
      <w:r>
        <w:rPr>
          <w:rStyle w:val="38"/>
          <w:rFonts w:hint="eastAsia"/>
        </w:rPr>
        <w:t>（资料性）钢结构防腐材料及选用表</w:t>
      </w:r>
      <w:r>
        <w:rPr>
          <w:rStyle w:val="38"/>
        </w:rPr>
        <w:tab/>
      </w:r>
      <w:r>
        <w:rPr>
          <w:rStyle w:val="38"/>
        </w:rPr>
        <w:fldChar w:fldCharType="begin"/>
      </w:r>
      <w:r>
        <w:rPr>
          <w:rStyle w:val="38"/>
        </w:rPr>
        <w:instrText xml:space="preserve"> PAGEREF _Toc186641530 \h </w:instrText>
      </w:r>
      <w:r>
        <w:rPr>
          <w:rStyle w:val="38"/>
        </w:rPr>
        <w:fldChar w:fldCharType="separate"/>
      </w:r>
      <w:r>
        <w:rPr>
          <w:rStyle w:val="38"/>
        </w:rPr>
        <w:t>50</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"_Toc186641534" </w:instrText>
      </w:r>
      <w:r>
        <w:fldChar w:fldCharType="separate"/>
      </w:r>
      <w:r>
        <w:rPr>
          <w:rStyle w:val="38"/>
          <w:rFonts w:hint="eastAsia"/>
        </w:rPr>
        <w:t>附录</w:t>
      </w:r>
      <w:r>
        <w:rPr>
          <w:rStyle w:val="38"/>
        </w:rPr>
        <w:t xml:space="preserve">D </w:t>
      </w:r>
      <w:r>
        <w:rPr>
          <w:rStyle w:val="38"/>
          <w:rFonts w:hint="eastAsia"/>
        </w:rPr>
        <w:t>（资料性）</w:t>
      </w:r>
      <w:r>
        <w:rPr>
          <w:rStyle w:val="38"/>
        </w:rPr>
        <w:t xml:space="preserve"> </w:t>
      </w:r>
      <w:r>
        <w:rPr>
          <w:rStyle w:val="38"/>
          <w:rFonts w:hint="eastAsia"/>
        </w:rPr>
        <w:t>湖北省地方标准实施信息及意见反馈表</w:t>
      </w:r>
      <w:r>
        <w:rPr>
          <w:rStyle w:val="38"/>
        </w:rPr>
        <w:tab/>
      </w:r>
      <w:r>
        <w:rPr>
          <w:rStyle w:val="38"/>
        </w:rPr>
        <w:fldChar w:fldCharType="begin"/>
      </w:r>
      <w:r>
        <w:rPr>
          <w:rStyle w:val="38"/>
        </w:rPr>
        <w:instrText xml:space="preserve"> PAGEREF _Toc186641534 \h </w:instrText>
      </w:r>
      <w:r>
        <w:rPr>
          <w:rStyle w:val="38"/>
        </w:rPr>
        <w:fldChar w:fldCharType="separate"/>
      </w:r>
      <w:r>
        <w:rPr>
          <w:rStyle w:val="38"/>
        </w:rPr>
        <w:t>53</w:t>
      </w:r>
      <w:r>
        <w:rPr>
          <w:rStyle w:val="38"/>
        </w:rPr>
        <w:fldChar w:fldCharType="end"/>
      </w:r>
      <w:r>
        <w:rPr>
          <w:rStyle w:val="38"/>
        </w:rPr>
        <w:fldChar w:fldCharType="end"/>
      </w:r>
    </w:p>
    <w:p>
      <w:pPr>
        <w:pStyle w:val="23"/>
        <w:tabs>
          <w:tab w:val="right" w:leader="dot" w:pos="9344"/>
        </w:tabs>
        <w:ind w:firstLine="0" w:firstLineChars="0"/>
        <w:rPr>
          <w:rStyle w:val="38"/>
        </w:rPr>
      </w:pPr>
      <w:r>
        <w:fldChar w:fldCharType="begin"/>
      </w:r>
      <w:r>
        <w:instrText xml:space="preserve"> HYPERLINK \l "_Toc186641535" </w:instrText>
      </w:r>
      <w:r>
        <w:fldChar w:fldCharType="separate"/>
      </w:r>
      <w:r>
        <w:rPr>
          <w:rStyle w:val="38"/>
          <w:rFonts w:hint="eastAsia"/>
        </w:rPr>
        <w:t>条文说明</w:t>
      </w:r>
      <w:r>
        <w:rPr>
          <w:rStyle w:val="38"/>
        </w:rPr>
        <w:tab/>
      </w:r>
      <w:r>
        <w:rPr>
          <w:rStyle w:val="38"/>
        </w:rPr>
        <w:fldChar w:fldCharType="begin"/>
      </w:r>
      <w:r>
        <w:rPr>
          <w:rStyle w:val="38"/>
        </w:rPr>
        <w:instrText xml:space="preserve"> PAGEREF _Toc186641535 \h </w:instrText>
      </w:r>
      <w:r>
        <w:rPr>
          <w:rStyle w:val="38"/>
        </w:rPr>
        <w:fldChar w:fldCharType="separate"/>
      </w:r>
      <w:r>
        <w:rPr>
          <w:rStyle w:val="38"/>
        </w:rPr>
        <w:t>54</w:t>
      </w:r>
      <w:r>
        <w:rPr>
          <w:rStyle w:val="38"/>
        </w:rPr>
        <w:fldChar w:fldCharType="end"/>
      </w:r>
      <w:r>
        <w:rPr>
          <w:rStyle w:val="38"/>
        </w:rPr>
        <w:fldChar w:fldCharType="end"/>
      </w:r>
    </w:p>
    <w:p>
      <w:pPr>
        <w:pStyle w:val="23"/>
        <w:tabs>
          <w:tab w:val="right" w:leader="dot" w:pos="9344"/>
        </w:tabs>
        <w:ind w:firstLine="0" w:firstLineChars="0"/>
        <w:rPr>
          <w:rFonts w:ascii="宋体" w:hAnsi="宋体"/>
          <w:spacing w:val="320"/>
          <w:kern w:val="0"/>
          <w:szCs w:val="21"/>
        </w:rPr>
      </w:pPr>
      <w:r>
        <w:rPr>
          <w:rStyle w:val="38"/>
        </w:rPr>
        <w:fldChar w:fldCharType="end"/>
      </w:r>
    </w:p>
    <w:p>
      <w:pPr>
        <w:widowControl/>
        <w:adjustRightInd/>
        <w:snapToGrid/>
        <w:spacing w:line="240" w:lineRule="auto"/>
        <w:ind w:firstLine="0" w:firstLineChars="0"/>
        <w:jc w:val="left"/>
        <w:rPr>
          <w:rFonts w:ascii="宋体" w:hAnsi="宋体" w:cs="Times New Roman"/>
          <w:spacing w:val="320"/>
          <w:kern w:val="0"/>
          <w:szCs w:val="21"/>
        </w:rPr>
      </w:pPr>
      <w:r>
        <w:rPr>
          <w:rFonts w:ascii="宋体" w:hAnsi="宋体" w:cs="Times New Roman"/>
          <w:spacing w:val="320"/>
          <w:kern w:val="0"/>
          <w:szCs w:val="21"/>
        </w:rPr>
        <w:br w:type="page"/>
      </w:r>
    </w:p>
    <w:p>
      <w:pPr>
        <w:pStyle w:val="81"/>
        <w:numPr>
          <w:ilvl w:val="0"/>
          <w:numId w:val="0"/>
        </w:numPr>
        <w:spacing w:after="468"/>
        <w:ind w:left="641"/>
        <w:rPr>
          <w:rFonts w:ascii="Times New Roman"/>
          <w:spacing w:val="320"/>
        </w:rPr>
      </w:pPr>
      <w:bookmarkStart w:id="16" w:name="_Toc186641442"/>
      <w:r>
        <w:rPr>
          <w:rFonts w:ascii="Times New Roman"/>
          <w:spacing w:val="320"/>
        </w:rPr>
        <w:t>前言</w:t>
      </w:r>
      <w:bookmarkEnd w:id="1"/>
      <w:bookmarkEnd w:id="2"/>
      <w:bookmarkEnd w:id="13"/>
      <w:bookmarkEnd w:id="14"/>
      <w:bookmarkEnd w:id="15"/>
      <w:bookmarkEnd w:id="16"/>
    </w:p>
    <w:p>
      <w:pPr>
        <w:pStyle w:val="63"/>
        <w:ind w:firstLine="420"/>
        <w:rPr>
          <w:rFonts w:ascii="Times New Roman"/>
        </w:rPr>
      </w:pPr>
      <w:r>
        <w:rPr>
          <w:rFonts w:ascii="Times New Roman"/>
        </w:rPr>
        <w:t>本文件按照GB/T 1.1—2020《标准化工作导则  第1部分：标准化文件的结构和起草规则》的规定起草。</w:t>
      </w:r>
    </w:p>
    <w:p>
      <w:pPr>
        <w:ind w:firstLine="420"/>
        <w:rPr>
          <w:rFonts w:ascii="宋体" w:hAnsi="宋体" w:cs="宋体"/>
          <w:szCs w:val="21"/>
          <w:lang w:bidi="ar"/>
        </w:rPr>
      </w:pPr>
      <w:r>
        <w:rPr>
          <w:rFonts w:hint="eastAsia" w:ascii="宋体" w:hAnsi="宋体" w:cs="宋体"/>
          <w:szCs w:val="21"/>
          <w:lang w:bidi="ar"/>
        </w:rPr>
        <w:t>本文件的发布机构提请注意，声明符合本文件时，可能涉及《一种钢筋直穿式钢管混凝土柱钢筋混凝土梁连接节点》（专利号：</w:t>
      </w:r>
      <w:r>
        <w:rPr>
          <w:rFonts w:cs="Times New Roman"/>
          <w:szCs w:val="21"/>
          <w:lang w:bidi="ar"/>
        </w:rPr>
        <w:t>ZL 2020 2 2172564.7</w:t>
      </w:r>
      <w:r>
        <w:rPr>
          <w:rFonts w:hint="eastAsia" w:ascii="宋体" w:hAnsi="宋体" w:cs="宋体"/>
          <w:szCs w:val="21"/>
          <w:lang w:bidi="ar"/>
        </w:rPr>
        <w:t>）、《一种钢筋混凝土纯悬挑梁与钢管混凝土柱连接节点》（专利号：</w:t>
      </w:r>
      <w:r>
        <w:rPr>
          <w:rFonts w:cs="Times New Roman"/>
          <w:szCs w:val="21"/>
          <w:lang w:bidi="ar"/>
        </w:rPr>
        <w:t>ZL 2022 2 2474036.6</w:t>
      </w:r>
      <w:r>
        <w:rPr>
          <w:rFonts w:hint="eastAsia" w:ascii="宋体" w:hAnsi="宋体" w:cs="宋体"/>
          <w:szCs w:val="21"/>
          <w:lang w:bidi="ar"/>
        </w:rPr>
        <w:t>）、《一种装配式免拆模板支护系统及免拆模板体系的制作方法》（专利号：ZL 2021 1 0299782.3）相关专利技术的使用。</w:t>
      </w:r>
    </w:p>
    <w:p>
      <w:pPr>
        <w:ind w:firstLine="420"/>
        <w:rPr>
          <w:rFonts w:ascii="宋体" w:hAnsi="宋体" w:cs="宋体"/>
          <w:szCs w:val="21"/>
          <w:lang w:bidi="ar"/>
        </w:rPr>
      </w:pPr>
      <w:r>
        <w:rPr>
          <w:rFonts w:hint="eastAsia" w:ascii="宋体" w:hAnsi="宋体" w:cs="宋体"/>
          <w:szCs w:val="21"/>
          <w:lang w:bidi="ar"/>
        </w:rPr>
        <w:t>本文件的发布机构对上述专利的真实性、有效性和范围无任何立场。涉及专利的具体技术问题，使用者可直接与相关专利持有人协商处理。相关专利持有人已向本文件的发布机构保证，声明符合本文件时，可无偿使用上述专利。</w:t>
      </w:r>
    </w:p>
    <w:p>
      <w:pPr>
        <w:pStyle w:val="63"/>
        <w:ind w:firstLine="420"/>
        <w:rPr>
          <w:rFonts w:ascii="Times New Roman"/>
        </w:rPr>
      </w:pPr>
      <w:r>
        <w:rPr>
          <w:rFonts w:hint="eastAsia" w:hAnsi="宋体" w:cs="宋体"/>
          <w:szCs w:val="21"/>
          <w:lang w:bidi="ar"/>
        </w:rPr>
        <w:t xml:space="preserve">  请注意除上述专利外，本文件的某些内容仍可能涉及专利。本文件的发布机构不承担识别这些专利的责任。</w:t>
      </w:r>
    </w:p>
    <w:p>
      <w:pPr>
        <w:pStyle w:val="63"/>
        <w:ind w:firstLine="420"/>
        <w:rPr>
          <w:rFonts w:ascii="Times New Roman"/>
        </w:rPr>
      </w:pPr>
      <w:r>
        <w:rPr>
          <w:rFonts w:ascii="Times New Roman"/>
        </w:rPr>
        <w:t>本文件由湖北省住房和城乡建设厅归口管理。</w:t>
      </w:r>
    </w:p>
    <w:p>
      <w:pPr>
        <w:pStyle w:val="63"/>
        <w:ind w:firstLine="420"/>
        <w:rPr>
          <w:rFonts w:ascii="Times New Roman"/>
        </w:rPr>
      </w:pPr>
    </w:p>
    <w:p>
      <w:pPr>
        <w:pStyle w:val="29"/>
        <w:widowControl/>
        <w:autoSpaceDE w:val="0"/>
        <w:autoSpaceDN w:val="0"/>
        <w:adjustRightInd/>
        <w:snapToGrid/>
        <w:spacing w:beforeAutospacing="0" w:afterAutospacing="0" w:line="240" w:lineRule="auto"/>
        <w:ind w:firstLine="420"/>
        <w:jc w:val="both"/>
        <w:rPr>
          <w:sz w:val="21"/>
        </w:rPr>
      </w:pPr>
      <w:r>
        <w:rPr>
          <w:sz w:val="21"/>
        </w:rPr>
        <w:t>本文件</w:t>
      </w:r>
      <w:r>
        <w:rPr>
          <w:rFonts w:hint="eastAsia"/>
          <w:sz w:val="21"/>
        </w:rPr>
        <w:t>主编</w:t>
      </w:r>
      <w:r>
        <w:rPr>
          <w:sz w:val="21"/>
        </w:rPr>
        <w:t>单位：</w:t>
      </w:r>
      <w:r>
        <w:rPr>
          <w:rFonts w:hint="eastAsia"/>
          <w:sz w:val="21"/>
        </w:rPr>
        <w:t>中信建筑设计研究总院有限公司、武汉大学、华中科技大学、武汉理工大学、中南建筑设计研究总院有限公司、中建三局集团有限公司、中铁中铁十局集团城建工程有限公司、中国轻工业武汉设计工程有限责任公司、中国葛洲坝集团勘测设计有限公司、武汉天华华中建筑设计有限公司、武汉设计咨询集团有限公司、武汉构筑建筑科技有限责任公司、东风鸿远工程咨询有限公司、中建一局集团有限公司、武汉悉道建筑科技有限公司</w:t>
      </w:r>
    </w:p>
    <w:p>
      <w:pPr>
        <w:pStyle w:val="63"/>
        <w:ind w:firstLine="0" w:firstLineChars="0"/>
        <w:rPr>
          <w:rFonts w:ascii="Times New Roman"/>
        </w:rPr>
      </w:pPr>
    </w:p>
    <w:p>
      <w:pPr>
        <w:pStyle w:val="29"/>
        <w:widowControl/>
        <w:autoSpaceDE w:val="0"/>
        <w:autoSpaceDN w:val="0"/>
        <w:adjustRightInd/>
        <w:snapToGrid/>
        <w:spacing w:beforeAutospacing="0" w:afterAutospacing="0" w:line="240" w:lineRule="auto"/>
        <w:ind w:firstLine="420"/>
        <w:jc w:val="both"/>
        <w:rPr>
          <w:sz w:val="21"/>
        </w:rPr>
      </w:pPr>
      <w:r>
        <w:rPr>
          <w:sz w:val="21"/>
        </w:rPr>
        <w:t>本文件主要起草人：</w:t>
      </w:r>
      <w:r>
        <w:rPr>
          <w:rFonts w:hint="eastAsia"/>
          <w:sz w:val="21"/>
        </w:rPr>
        <w:t>温四清、袁焕鑫、温永坚、杜新喜、王非、朱爱珠、王小平、纪晗、符锴、张海龙、罗奎、栾极、左治新、贾维杰、李井哲、蒋科卫、蔡进波、胡明、张忠振、邓昌福、王伟、姜志浩、沈玉龙、李从春、李智明、唐宽</w:t>
      </w:r>
    </w:p>
    <w:p>
      <w:pPr>
        <w:pStyle w:val="63"/>
        <w:ind w:firstLine="420"/>
        <w:rPr>
          <w:rFonts w:ascii="Times New Roman"/>
        </w:rPr>
      </w:pPr>
    </w:p>
    <w:p>
      <w:pPr>
        <w:pStyle w:val="63"/>
        <w:ind w:firstLine="420"/>
        <w:rPr>
          <w:rFonts w:ascii="Times New Roman"/>
        </w:rPr>
      </w:pPr>
      <w:r>
        <w:rPr>
          <w:rFonts w:ascii="Times New Roman"/>
        </w:rPr>
        <w:t>本文件主要审查人员</w:t>
      </w:r>
      <w:r>
        <w:rPr>
          <w:rFonts w:hint="eastAsia" w:ascii="Times New Roman"/>
        </w:rPr>
        <w:t>：</w:t>
      </w:r>
    </w:p>
    <w:p>
      <w:pPr>
        <w:pStyle w:val="63"/>
        <w:ind w:firstLine="420"/>
        <w:rPr>
          <w:rFonts w:ascii="Times New Roman"/>
        </w:rPr>
      </w:pPr>
    </w:p>
    <w:p>
      <w:pPr>
        <w:pStyle w:val="63"/>
        <w:ind w:firstLine="420"/>
        <w:rPr>
          <w:rFonts w:ascii="Times New Roman"/>
        </w:rPr>
      </w:pPr>
    </w:p>
    <w:p>
      <w:pPr>
        <w:pStyle w:val="63"/>
        <w:ind w:firstLine="420"/>
        <w:rPr>
          <w:rFonts w:ascii="Times New Roman"/>
        </w:rPr>
      </w:pPr>
      <w:r>
        <w:rPr>
          <w:rFonts w:ascii="Times New Roman"/>
        </w:rPr>
        <w:t>本文件实施应用中的疑问，</w:t>
      </w:r>
      <w:r>
        <w:rPr>
          <w:rFonts w:hint="eastAsia"/>
        </w:rPr>
        <w:t>可咨询湖北省住房和城乡建设厅，联系电话：027-68873088</w:t>
      </w:r>
      <w:r>
        <w:rPr>
          <w:rFonts w:ascii="Times New Roman"/>
        </w:rPr>
        <w:t>。</w:t>
      </w:r>
      <w:r>
        <w:rPr>
          <w:rFonts w:hint="eastAsia" w:ascii="Times New Roman"/>
        </w:rPr>
        <w:t>邮箱：</w:t>
      </w:r>
      <w:r>
        <w:fldChar w:fldCharType="begin"/>
      </w:r>
      <w:r>
        <w:instrText xml:space="preserve"> HYPERLINK "mailto:scc@hbszjt.net.cn" </w:instrText>
      </w:r>
      <w:r>
        <w:fldChar w:fldCharType="separate"/>
      </w:r>
      <w:r>
        <w:rPr>
          <w:rStyle w:val="38"/>
          <w:rFonts w:hint="eastAsia" w:ascii="Times New Roman"/>
          <w:color w:val="auto"/>
        </w:rPr>
        <w:t>scc@hbszjt.net.cn</w:t>
      </w:r>
      <w:r>
        <w:rPr>
          <w:rStyle w:val="38"/>
          <w:rFonts w:hint="eastAsia" w:ascii="Times New Roman"/>
          <w:color w:val="auto"/>
        </w:rPr>
        <w:fldChar w:fldCharType="end"/>
      </w:r>
      <w:r>
        <w:rPr>
          <w:rFonts w:hint="eastAsia" w:ascii="Times New Roman"/>
        </w:rPr>
        <w:t xml:space="preserve"> </w:t>
      </w:r>
      <w:r>
        <w:rPr>
          <w:rFonts w:ascii="Times New Roman"/>
        </w:rPr>
        <w:t>对本文件的有关修改意见建议请反馈至中信建筑设计研究总院有限公司（地址：湖北省武汉市江岸区四唯路8号，邮编430014，邮箱：</w:t>
      </w:r>
      <w:r>
        <w:rPr>
          <w:rFonts w:hint="eastAsia" w:ascii="Times New Roman"/>
        </w:rPr>
        <w:t>1050203179</w:t>
      </w:r>
      <w:r>
        <w:rPr>
          <w:rFonts w:ascii="Times New Roman"/>
        </w:rPr>
        <w:t>@</w:t>
      </w:r>
      <w:r>
        <w:rPr>
          <w:rFonts w:hint="eastAsia" w:ascii="Times New Roman"/>
        </w:rPr>
        <w:t>qq</w:t>
      </w:r>
      <w:r>
        <w:rPr>
          <w:rFonts w:ascii="Times New Roman"/>
        </w:rPr>
        <w:t>.com）。</w:t>
      </w:r>
    </w:p>
    <w:p>
      <w:pPr>
        <w:widowControl/>
        <w:adjustRightInd/>
        <w:snapToGrid/>
        <w:spacing w:line="240" w:lineRule="auto"/>
        <w:ind w:firstLine="0" w:firstLineChars="0"/>
        <w:jc w:val="left"/>
      </w:pPr>
    </w:p>
    <w:p>
      <w:pPr>
        <w:widowControl/>
        <w:adjustRightInd/>
        <w:snapToGrid/>
        <w:spacing w:line="240" w:lineRule="auto"/>
        <w:ind w:firstLine="0" w:firstLineChars="0"/>
        <w:jc w:val="left"/>
        <w:sectPr>
          <w:headerReference r:id="rId11" w:type="default"/>
          <w:footerReference r:id="rId13" w:type="default"/>
          <w:headerReference r:id="rId12" w:type="even"/>
          <w:pgSz w:w="11906" w:h="16838"/>
          <w:pgMar w:top="2410" w:right="1134" w:bottom="1134" w:left="1134" w:header="1418" w:footer="1134" w:gutter="284"/>
          <w:pgNumType w:fmt="upperRoman"/>
          <w:cols w:space="425" w:num="1"/>
          <w:formProt w:val="0"/>
          <w:docGrid w:type="lines" w:linePitch="312" w:charSpace="0"/>
        </w:sectPr>
      </w:pPr>
    </w:p>
    <w:p>
      <w:pPr>
        <w:widowControl/>
        <w:adjustRightInd/>
        <w:snapToGrid/>
        <w:spacing w:line="240" w:lineRule="auto"/>
        <w:ind w:firstLine="0" w:firstLineChars="0"/>
        <w:jc w:val="left"/>
        <w:rPr>
          <w:b/>
          <w:bCs/>
          <w:sz w:val="32"/>
          <w:szCs w:val="32"/>
        </w:rPr>
      </w:pPr>
    </w:p>
    <w:p>
      <w:pPr>
        <w:ind w:firstLine="640"/>
        <w:jc w:val="center"/>
        <w:rPr>
          <w:rFonts w:ascii="黑体" w:hAnsi="黑体" w:eastAsia="黑体" w:cs="黑体"/>
          <w:sz w:val="32"/>
          <w:szCs w:val="32"/>
        </w:rPr>
      </w:pPr>
      <w:bookmarkStart w:id="17" w:name="_Toc32715"/>
      <w:r>
        <w:rPr>
          <w:rFonts w:hint="eastAsia" w:ascii="黑体" w:hAnsi="黑体" w:eastAsia="黑体" w:cs="黑体"/>
          <w:sz w:val="32"/>
          <w:szCs w:val="32"/>
        </w:rPr>
        <w:t>装配式混合结构技术规程</w:t>
      </w:r>
      <w:bookmarkEnd w:id="17"/>
    </w:p>
    <w:p>
      <w:pPr>
        <w:pStyle w:val="2"/>
        <w:spacing w:before="240" w:after="240"/>
      </w:pPr>
      <w:bookmarkStart w:id="18" w:name="_Toc185448935"/>
      <w:bookmarkStart w:id="19" w:name="_Toc2933"/>
      <w:bookmarkStart w:id="20" w:name="_Toc186641443"/>
      <w:bookmarkStart w:id="21" w:name="_Toc26221"/>
      <w:bookmarkStart w:id="22" w:name="_Toc185448845"/>
      <w:r>
        <w:rPr>
          <w:rFonts w:hint="eastAsia"/>
        </w:rPr>
        <w:t>范围</w:t>
      </w:r>
      <w:bookmarkEnd w:id="18"/>
      <w:bookmarkEnd w:id="19"/>
      <w:bookmarkEnd w:id="20"/>
      <w:bookmarkEnd w:id="21"/>
      <w:bookmarkEnd w:id="22"/>
    </w:p>
    <w:p>
      <w:pPr>
        <w:ind w:firstLine="420"/>
      </w:pPr>
      <w:r>
        <w:t>本文件制定了装配式混合框架结构的基本规定</w:t>
      </w:r>
      <w:r>
        <w:rPr>
          <w:rFonts w:hint="eastAsia"/>
        </w:rPr>
        <w:t>、</w:t>
      </w:r>
      <w:r>
        <w:t>材料</w:t>
      </w:r>
      <w:r>
        <w:rPr>
          <w:rFonts w:hint="eastAsia"/>
        </w:rPr>
        <w:t>、荷载及作用、结构计算、结构设计、防护与维护、构件制作与运输、结构施工和工程验收的技术要求。</w:t>
      </w:r>
    </w:p>
    <w:p>
      <w:pPr>
        <w:ind w:firstLine="420"/>
      </w:pPr>
      <w:r>
        <w:t>本文件适用于</w:t>
      </w:r>
      <w:r>
        <w:rPr>
          <w:rFonts w:hint="eastAsia"/>
        </w:rPr>
        <w:t>湖北省内非抗震设防和抗震设防烈度为6度至8度抗震设防的装配式混合框架结构、框架-剪力墙和框架-核心筒结构中混合框架部分</w:t>
      </w:r>
      <w:r>
        <w:t>的设计</w:t>
      </w:r>
      <w:r>
        <w:rPr>
          <w:rFonts w:hint="eastAsia"/>
        </w:rPr>
        <w:t>、制作、</w:t>
      </w:r>
      <w:r>
        <w:t>施工</w:t>
      </w:r>
      <w:r>
        <w:rPr>
          <w:rFonts w:hint="eastAsia"/>
        </w:rPr>
        <w:t>、</w:t>
      </w:r>
      <w:r>
        <w:t>检验及验收</w:t>
      </w:r>
      <w:r>
        <w:rPr>
          <w:rFonts w:hint="eastAsia"/>
        </w:rPr>
        <w:t>。</w:t>
      </w:r>
    </w:p>
    <w:p>
      <w:pPr>
        <w:ind w:firstLine="420"/>
      </w:pPr>
      <w:r>
        <w:rPr>
          <w:rFonts w:hint="eastAsia"/>
        </w:rPr>
        <w:t>本文件中装配式混合框架结构特指</w:t>
      </w:r>
      <w:r>
        <w:rPr>
          <w:rFonts w:hint="eastAsia"/>
          <w:bCs/>
          <w:szCs w:val="32"/>
        </w:rPr>
        <w:t>钢管混凝土柱-钢筋混凝土梁和钢筋混凝土柱-钢梁这两种形式的混合框架结构。</w:t>
      </w:r>
    </w:p>
    <w:p>
      <w:pPr>
        <w:pStyle w:val="2"/>
        <w:keepNext w:val="0"/>
        <w:keepLines w:val="0"/>
        <w:spacing w:before="240" w:after="240"/>
      </w:pPr>
      <w:bookmarkStart w:id="23" w:name="_Toc31035"/>
      <w:bookmarkStart w:id="24" w:name="_Toc185448936"/>
      <w:bookmarkStart w:id="25" w:name="_Toc185448846"/>
      <w:bookmarkStart w:id="26" w:name="_Toc858"/>
      <w:bookmarkStart w:id="27" w:name="_Toc186641444"/>
      <w:r>
        <w:rPr>
          <w:rFonts w:hint="eastAsia"/>
        </w:rPr>
        <w:t>规范性引用文件</w:t>
      </w:r>
      <w:bookmarkEnd w:id="23"/>
      <w:bookmarkEnd w:id="24"/>
      <w:bookmarkEnd w:id="25"/>
      <w:bookmarkEnd w:id="26"/>
      <w:bookmarkEnd w:id="27"/>
    </w:p>
    <w:p>
      <w:pPr>
        <w:ind w:firstLine="420"/>
      </w:pPr>
      <w:r>
        <w:rPr>
          <w:rFonts w:hint="eastAsia"/>
        </w:rPr>
        <w:t>下列文件中的内容通过文中的规范性引用而构成本文件必不可少的条款。其中，注日期的引用文件，</w:t>
      </w:r>
    </w:p>
    <w:p>
      <w:pPr>
        <w:ind w:firstLine="0" w:firstLineChars="0"/>
      </w:pPr>
      <w:r>
        <w:rPr>
          <w:rFonts w:hint="eastAsia"/>
        </w:rPr>
        <w:t>仅该日期对应的版本适用于本文件；不注日期的引用文件，其最新版本（包括所有的修改单）适用于本文件。</w:t>
      </w:r>
    </w:p>
    <w:p>
      <w:pPr>
        <w:ind w:firstLine="420"/>
      </w:pPr>
      <w:r>
        <w:t>G</w:t>
      </w:r>
      <w:r>
        <w:rPr>
          <w:rFonts w:hint="eastAsia"/>
        </w:rPr>
        <w:t>B/T 700</w:t>
      </w:r>
      <w:r>
        <w:t xml:space="preserve">  </w:t>
      </w:r>
      <w:r>
        <w:rPr>
          <w:rFonts w:hint="eastAsia"/>
        </w:rPr>
        <w:t>碳素结构钢</w:t>
      </w:r>
    </w:p>
    <w:p>
      <w:pPr>
        <w:ind w:firstLine="420"/>
      </w:pPr>
      <w:r>
        <w:t xml:space="preserve">GB/T 985.1  </w:t>
      </w:r>
      <w:r>
        <w:rPr>
          <w:rFonts w:hint="eastAsia"/>
        </w:rPr>
        <w:t>气焊、焊条电弧焊、气体保护焊和高能束焊的推荐坡口</w:t>
      </w:r>
    </w:p>
    <w:p>
      <w:pPr>
        <w:ind w:firstLine="420"/>
      </w:pPr>
      <w:r>
        <w:rPr>
          <w:rFonts w:hint="eastAsia"/>
        </w:rPr>
        <w:t>GB/T 985.2</w:t>
      </w:r>
      <w:r>
        <w:t xml:space="preserve">  </w:t>
      </w:r>
      <w:r>
        <w:rPr>
          <w:rFonts w:hint="eastAsia"/>
        </w:rPr>
        <w:t>埋弧焊的推荐坡口</w:t>
      </w:r>
    </w:p>
    <w:p>
      <w:pPr>
        <w:ind w:firstLine="420"/>
      </w:pPr>
      <w:r>
        <w:rPr>
          <w:rFonts w:hint="eastAsia"/>
        </w:rPr>
        <w:t>GB/T 1228</w:t>
      </w:r>
      <w:r>
        <w:t xml:space="preserve">  </w:t>
      </w:r>
      <w:r>
        <w:rPr>
          <w:rFonts w:hint="eastAsia"/>
        </w:rPr>
        <w:t>钢结构用高强度大六角头螺栓</w:t>
      </w:r>
    </w:p>
    <w:p>
      <w:pPr>
        <w:ind w:firstLine="420"/>
        <w:rPr>
          <w:i/>
        </w:rPr>
      </w:pPr>
      <w:r>
        <w:rPr>
          <w:rFonts w:hint="eastAsia"/>
        </w:rPr>
        <w:t>GB/T 1229</w:t>
      </w:r>
      <w:r>
        <w:t xml:space="preserve">  </w:t>
      </w:r>
      <w:r>
        <w:rPr>
          <w:rFonts w:hint="eastAsia"/>
        </w:rPr>
        <w:t>钢结构用高强度大六角螺母</w:t>
      </w:r>
    </w:p>
    <w:p>
      <w:pPr>
        <w:ind w:firstLine="420"/>
      </w:pPr>
      <w:r>
        <w:rPr>
          <w:rFonts w:hint="eastAsia"/>
        </w:rPr>
        <w:t>GB/T 1230</w:t>
      </w:r>
      <w:r>
        <w:t xml:space="preserve">  </w:t>
      </w:r>
      <w:r>
        <w:rPr>
          <w:rFonts w:hint="eastAsia"/>
        </w:rPr>
        <w:t>钢结构用高强度垫圈</w:t>
      </w:r>
    </w:p>
    <w:p>
      <w:pPr>
        <w:ind w:firstLine="420"/>
      </w:pPr>
      <w:r>
        <w:t>G</w:t>
      </w:r>
      <w:r>
        <w:rPr>
          <w:rFonts w:hint="eastAsia"/>
        </w:rPr>
        <w:t>B/T 1231</w:t>
      </w:r>
      <w:r>
        <w:t xml:space="preserve">  </w:t>
      </w:r>
      <w:r>
        <w:rPr>
          <w:rFonts w:hint="eastAsia"/>
        </w:rPr>
        <w:t>钢结构用高强度大六角头螺栓、大六角螺母、垫圈技术条件</w:t>
      </w:r>
    </w:p>
    <w:p>
      <w:pPr>
        <w:ind w:firstLine="420"/>
      </w:pPr>
      <w:r>
        <w:rPr>
          <w:rFonts w:hint="eastAsia"/>
        </w:rPr>
        <w:t>GB/T 1591</w:t>
      </w:r>
      <w:r>
        <w:t xml:space="preserve">  </w:t>
      </w:r>
      <w:r>
        <w:rPr>
          <w:rFonts w:hint="eastAsia"/>
        </w:rPr>
        <w:t>低合金高强度结构钢</w:t>
      </w:r>
    </w:p>
    <w:p>
      <w:pPr>
        <w:ind w:firstLine="420"/>
      </w:pPr>
      <w:r>
        <w:rPr>
          <w:rFonts w:hint="eastAsia"/>
        </w:rPr>
        <w:t>GB 1720  漆膜附着力测定法</w:t>
      </w:r>
    </w:p>
    <w:p>
      <w:pPr>
        <w:ind w:firstLine="420"/>
      </w:pPr>
      <w:r>
        <w:rPr>
          <w:rFonts w:hint="eastAsia"/>
        </w:rPr>
        <w:t>GB/T 2518</w:t>
      </w:r>
      <w:r>
        <w:t xml:space="preserve">  </w:t>
      </w:r>
      <w:r>
        <w:rPr>
          <w:rFonts w:hint="eastAsia"/>
        </w:rPr>
        <w:t>连续热镀锌钢板及钢带</w:t>
      </w:r>
    </w:p>
    <w:p>
      <w:pPr>
        <w:ind w:firstLine="199" w:firstLineChars="95"/>
      </w:pPr>
      <w:r>
        <w:t xml:space="preserve">  </w:t>
      </w:r>
      <w:r>
        <w:rPr>
          <w:rFonts w:hint="eastAsia"/>
        </w:rPr>
        <w:t>GB/T 3632</w:t>
      </w:r>
      <w:r>
        <w:t xml:space="preserve">  </w:t>
      </w:r>
      <w:r>
        <w:rPr>
          <w:rFonts w:hint="eastAsia"/>
        </w:rPr>
        <w:t>钢结构用扭剪型高强度螺栓连接副</w:t>
      </w:r>
    </w:p>
    <w:p>
      <w:pPr>
        <w:ind w:firstLine="420"/>
      </w:pPr>
      <w:r>
        <w:rPr>
          <w:rFonts w:hint="eastAsia"/>
        </w:rPr>
        <w:t>GB/T</w:t>
      </w:r>
      <w:r>
        <w:t xml:space="preserve"> </w:t>
      </w:r>
      <w:r>
        <w:rPr>
          <w:rFonts w:hint="eastAsia"/>
        </w:rPr>
        <w:t>4171</w:t>
      </w:r>
      <w:r>
        <w:t xml:space="preserve">  </w:t>
      </w:r>
      <w:r>
        <w:rPr>
          <w:rFonts w:hint="eastAsia"/>
        </w:rPr>
        <w:t>耐候结构钢</w:t>
      </w:r>
    </w:p>
    <w:p>
      <w:pPr>
        <w:ind w:firstLine="409" w:firstLineChars="195"/>
      </w:pPr>
      <w:r>
        <w:rPr>
          <w:rFonts w:hint="eastAsia"/>
        </w:rPr>
        <w:t>GB/T 5117</w:t>
      </w:r>
      <w:r>
        <w:t xml:space="preserve">  </w:t>
      </w:r>
      <w:r>
        <w:rPr>
          <w:rFonts w:hint="eastAsia"/>
        </w:rPr>
        <w:t>非合金钢及细晶粒钢焊条</w:t>
      </w:r>
    </w:p>
    <w:p>
      <w:pPr>
        <w:ind w:firstLine="420"/>
      </w:pPr>
      <w:r>
        <w:rPr>
          <w:rFonts w:hint="eastAsia"/>
        </w:rPr>
        <w:t>GB/T 5118</w:t>
      </w:r>
      <w:r>
        <w:t xml:space="preserve">  </w:t>
      </w:r>
      <w:r>
        <w:rPr>
          <w:rFonts w:hint="eastAsia"/>
        </w:rPr>
        <w:t>热强钢焊条</w:t>
      </w:r>
    </w:p>
    <w:p>
      <w:pPr>
        <w:ind w:firstLine="420"/>
      </w:pPr>
      <w:r>
        <w:rPr>
          <w:rFonts w:hint="eastAsia"/>
        </w:rPr>
        <w:t>GB/T 5293</w:t>
      </w:r>
      <w:r>
        <w:t xml:space="preserve">  </w:t>
      </w:r>
      <w:r>
        <w:rPr>
          <w:rFonts w:hint="eastAsia"/>
        </w:rPr>
        <w:t>埋弧焊用碳钢焊丝和焊剂</w:t>
      </w:r>
    </w:p>
    <w:p>
      <w:pPr>
        <w:ind w:firstLine="420"/>
      </w:pPr>
      <w:r>
        <w:rPr>
          <w:rFonts w:hint="eastAsia"/>
        </w:rPr>
        <w:t>GB/T 5313</w:t>
      </w:r>
      <w:r>
        <w:t xml:space="preserve">  </w:t>
      </w:r>
      <w:r>
        <w:rPr>
          <w:rFonts w:hint="eastAsia"/>
        </w:rPr>
        <w:t>厚度方向性能钢板</w:t>
      </w:r>
    </w:p>
    <w:p>
      <w:pPr>
        <w:ind w:firstLine="420"/>
      </w:pPr>
      <w:r>
        <w:rPr>
          <w:rFonts w:hint="eastAsia"/>
        </w:rPr>
        <w:t>GB/T 5780</w:t>
      </w:r>
      <w:r>
        <w:t xml:space="preserve">  </w:t>
      </w:r>
      <w:r>
        <w:rPr>
          <w:rFonts w:hint="eastAsia"/>
        </w:rPr>
        <w:t>六角头螺栓 C级</w:t>
      </w:r>
    </w:p>
    <w:p>
      <w:pPr>
        <w:ind w:firstLine="420"/>
      </w:pPr>
      <w:r>
        <w:rPr>
          <w:rFonts w:hint="eastAsia"/>
        </w:rPr>
        <w:t>CB/T 5782</w:t>
      </w:r>
      <w:r>
        <w:t xml:space="preserve">  </w:t>
      </w:r>
      <w:r>
        <w:rPr>
          <w:rFonts w:hint="eastAsia"/>
        </w:rPr>
        <w:t>六角头螺栓</w:t>
      </w:r>
    </w:p>
    <w:p>
      <w:pPr>
        <w:ind w:firstLine="420"/>
      </w:pPr>
      <w:r>
        <w:rPr>
          <w:rFonts w:hint="eastAsia"/>
        </w:rPr>
        <w:t>GB/T</w:t>
      </w:r>
      <w:r>
        <w:t xml:space="preserve"> </w:t>
      </w:r>
      <w:r>
        <w:rPr>
          <w:rFonts w:hint="eastAsia"/>
        </w:rPr>
        <w:t>7659</w:t>
      </w:r>
      <w:r>
        <w:t xml:space="preserve">  </w:t>
      </w:r>
      <w:r>
        <w:rPr>
          <w:rFonts w:hint="eastAsia"/>
        </w:rPr>
        <w:t>焊接结构用铸钢件</w:t>
      </w:r>
    </w:p>
    <w:p>
      <w:pPr>
        <w:ind w:firstLine="420"/>
      </w:pPr>
      <w:r>
        <w:rPr>
          <w:rFonts w:hint="eastAsia"/>
        </w:rPr>
        <w:t>CB/T 10433</w:t>
      </w:r>
      <w:r>
        <w:t xml:space="preserve">  </w:t>
      </w:r>
      <w:r>
        <w:rPr>
          <w:rFonts w:hint="eastAsia"/>
        </w:rPr>
        <w:t>电弧螺柱焊用圆柱头焊钉</w:t>
      </w:r>
    </w:p>
    <w:p>
      <w:pPr>
        <w:ind w:firstLine="420"/>
      </w:pPr>
      <w:r>
        <w:rPr>
          <w:rFonts w:hint="eastAsia"/>
        </w:rPr>
        <w:t>GB/T 11352</w:t>
      </w:r>
      <w:r>
        <w:t xml:space="preserve">  </w:t>
      </w:r>
      <w:r>
        <w:rPr>
          <w:rFonts w:hint="eastAsia"/>
        </w:rPr>
        <w:t>—般工程用铸造碳钢件</w:t>
      </w:r>
    </w:p>
    <w:p>
      <w:pPr>
        <w:ind w:firstLine="420"/>
      </w:pPr>
      <w:r>
        <w:rPr>
          <w:rFonts w:hint="eastAsia"/>
        </w:rPr>
        <w:t>GB/T 12470</w:t>
      </w:r>
      <w:r>
        <w:t xml:space="preserve">  </w:t>
      </w:r>
      <w:r>
        <w:rPr>
          <w:rFonts w:hint="eastAsia"/>
        </w:rPr>
        <w:t>埋弧焊用低合金钢焊丝和焊剂</w:t>
      </w:r>
    </w:p>
    <w:p>
      <w:pPr>
        <w:ind w:firstLine="420"/>
      </w:pPr>
      <w:r>
        <w:rPr>
          <w:rFonts w:hint="eastAsia"/>
        </w:rPr>
        <w:t>GB 12523 建筑施工场界环境噪声排放标准</w:t>
      </w:r>
    </w:p>
    <w:p>
      <w:pPr>
        <w:ind w:firstLine="420"/>
      </w:pPr>
      <w:r>
        <w:rPr>
          <w:rFonts w:hint="eastAsia"/>
        </w:rPr>
        <w:t>GB/T 12755</w:t>
      </w:r>
      <w:r>
        <w:t xml:space="preserve">  </w:t>
      </w:r>
      <w:r>
        <w:rPr>
          <w:rFonts w:hint="eastAsia"/>
        </w:rPr>
        <w:t>建筑用压型钢板</w:t>
      </w:r>
    </w:p>
    <w:p>
      <w:pPr>
        <w:ind w:firstLine="420"/>
      </w:pPr>
      <w:r>
        <w:rPr>
          <w:rFonts w:hint="eastAsia"/>
        </w:rPr>
        <w:t>GB/T</w:t>
      </w:r>
      <w:r>
        <w:t xml:space="preserve"> </w:t>
      </w:r>
      <w:r>
        <w:rPr>
          <w:rFonts w:hint="eastAsia"/>
        </w:rPr>
        <w:t>14902</w:t>
      </w:r>
      <w:r>
        <w:t xml:space="preserve">  </w:t>
      </w:r>
      <w:r>
        <w:rPr>
          <w:rFonts w:hint="eastAsia"/>
        </w:rPr>
        <w:t>预拌混凝土</w:t>
      </w:r>
    </w:p>
    <w:p>
      <w:pPr>
        <w:ind w:firstLine="420"/>
      </w:pPr>
      <w:r>
        <w:rPr>
          <w:rFonts w:hint="eastAsia"/>
        </w:rPr>
        <w:t>GB 18306</w:t>
      </w:r>
      <w:r>
        <w:t xml:space="preserve">  </w:t>
      </w:r>
      <w:r>
        <w:rPr>
          <w:rFonts w:hint="eastAsia"/>
        </w:rPr>
        <w:t>中国地震动参数区划图</w:t>
      </w:r>
    </w:p>
    <w:p>
      <w:pPr>
        <w:ind w:firstLine="420"/>
      </w:pPr>
      <w:r>
        <w:rPr>
          <w:rFonts w:hint="eastAsia"/>
        </w:rPr>
        <w:t>GB/T 19879</w:t>
      </w:r>
      <w:r>
        <w:t xml:space="preserve">  </w:t>
      </w:r>
      <w:r>
        <w:rPr>
          <w:rFonts w:hint="eastAsia"/>
        </w:rPr>
        <w:t>建筑结构用钢板</w:t>
      </w:r>
    </w:p>
    <w:p>
      <w:pPr>
        <w:ind w:firstLine="420"/>
      </w:pPr>
      <w:r>
        <w:t xml:space="preserve">GB 50009  </w:t>
      </w:r>
      <w:r>
        <w:rPr>
          <w:rFonts w:hint="eastAsia"/>
        </w:rPr>
        <w:t>建筑</w:t>
      </w:r>
      <w:r>
        <w:t>结构荷载规范</w:t>
      </w:r>
    </w:p>
    <w:p>
      <w:pPr>
        <w:ind w:firstLine="420"/>
      </w:pPr>
      <w:r>
        <w:rPr>
          <w:rFonts w:hint="eastAsia"/>
        </w:rPr>
        <w:t>GB/T 50010  混凝土结构设计标准</w:t>
      </w:r>
    </w:p>
    <w:p>
      <w:pPr>
        <w:ind w:firstLine="420"/>
      </w:pPr>
      <w:r>
        <w:rPr>
          <w:rFonts w:hint="eastAsia"/>
        </w:rPr>
        <w:t>GB/T 50011  建筑抗震设计标准</w:t>
      </w:r>
    </w:p>
    <w:p>
      <w:pPr>
        <w:ind w:firstLine="420"/>
      </w:pPr>
      <w:r>
        <w:t>GB 50016  建筑防火设计规范</w:t>
      </w:r>
    </w:p>
    <w:p>
      <w:pPr>
        <w:ind w:firstLine="420"/>
      </w:pPr>
      <w:r>
        <w:rPr>
          <w:rFonts w:hint="eastAsia"/>
        </w:rPr>
        <w:t xml:space="preserve">GB 50017 </w:t>
      </w:r>
      <w:r>
        <w:t xml:space="preserve"> </w:t>
      </w:r>
      <w:r>
        <w:rPr>
          <w:rFonts w:hint="eastAsia"/>
        </w:rPr>
        <w:t>钢结构设计标准</w:t>
      </w:r>
    </w:p>
    <w:p>
      <w:pPr>
        <w:ind w:firstLine="420"/>
      </w:pPr>
      <w:r>
        <w:rPr>
          <w:rFonts w:hint="eastAsia"/>
        </w:rPr>
        <w:t xml:space="preserve">GB 50018 </w:t>
      </w:r>
      <w:r>
        <w:t xml:space="preserve"> </w:t>
      </w:r>
      <w:r>
        <w:rPr>
          <w:rFonts w:hint="eastAsia"/>
        </w:rPr>
        <w:t>冷弯薄壁型钢结构技术规范</w:t>
      </w:r>
    </w:p>
    <w:p>
      <w:pPr>
        <w:ind w:firstLine="420"/>
      </w:pPr>
      <w:r>
        <w:rPr>
          <w:rFonts w:hint="eastAsia"/>
        </w:rPr>
        <w:t>GB50026 工程测量规范</w:t>
      </w:r>
    </w:p>
    <w:p>
      <w:pPr>
        <w:ind w:firstLine="420"/>
      </w:pPr>
      <w:r>
        <w:rPr>
          <w:rFonts w:hint="eastAsia"/>
        </w:rPr>
        <w:t>G</w:t>
      </w:r>
      <w:r>
        <w:t>B 50204  混凝土结构工程施工质量验收规范</w:t>
      </w:r>
    </w:p>
    <w:p>
      <w:pPr>
        <w:ind w:firstLine="420"/>
      </w:pPr>
      <w:r>
        <w:rPr>
          <w:rFonts w:hint="eastAsia"/>
        </w:rPr>
        <w:t xml:space="preserve">GB 50205 </w:t>
      </w:r>
      <w:r>
        <w:t xml:space="preserve"> </w:t>
      </w:r>
      <w:r>
        <w:rPr>
          <w:rFonts w:hint="eastAsia"/>
        </w:rPr>
        <w:t>钢结构工程施工质量验收标准</w:t>
      </w:r>
    </w:p>
    <w:p>
      <w:pPr>
        <w:ind w:firstLine="420"/>
      </w:pPr>
      <w:r>
        <w:rPr>
          <w:rFonts w:hint="eastAsia"/>
        </w:rPr>
        <w:t>G</w:t>
      </w:r>
      <w:r>
        <w:t>B/T 50214  组合钢模板技术规程</w:t>
      </w:r>
    </w:p>
    <w:p>
      <w:pPr>
        <w:ind w:firstLine="420"/>
      </w:pPr>
      <w:r>
        <w:rPr>
          <w:rFonts w:hint="eastAsia"/>
        </w:rPr>
        <w:t>GB 50223</w:t>
      </w:r>
      <w:r>
        <w:t xml:space="preserve">  </w:t>
      </w:r>
      <w:r>
        <w:rPr>
          <w:rFonts w:hint="eastAsia"/>
        </w:rPr>
        <w:t>建筑工程抗震设防分类标准</w:t>
      </w:r>
    </w:p>
    <w:p>
      <w:pPr>
        <w:ind w:firstLine="420"/>
      </w:pPr>
      <w:r>
        <w:rPr>
          <w:rFonts w:hint="eastAsia"/>
        </w:rPr>
        <w:t>GB 50300  建筑工程施工质量验收统一标准</w:t>
      </w:r>
    </w:p>
    <w:p>
      <w:pPr>
        <w:ind w:firstLine="420"/>
      </w:pPr>
      <w:r>
        <w:rPr>
          <w:rFonts w:hint="eastAsia"/>
        </w:rPr>
        <w:t>GB/T 50476 混凝土结构耐久性设计规范</w:t>
      </w:r>
    </w:p>
    <w:p>
      <w:pPr>
        <w:ind w:firstLine="420"/>
      </w:pPr>
      <w:r>
        <w:rPr>
          <w:rFonts w:hint="eastAsia"/>
        </w:rPr>
        <w:t>G</w:t>
      </w:r>
      <w:r>
        <w:t>B 50628  钢管混凝土工程施工质量验收规范</w:t>
      </w:r>
    </w:p>
    <w:p>
      <w:pPr>
        <w:ind w:firstLine="420"/>
      </w:pPr>
      <w:r>
        <w:rPr>
          <w:rFonts w:hint="eastAsia"/>
        </w:rPr>
        <w:t>GB/T 50640</w:t>
      </w:r>
      <w:r>
        <w:t xml:space="preserve">  </w:t>
      </w:r>
      <w:r>
        <w:rPr>
          <w:rFonts w:hint="eastAsia"/>
        </w:rPr>
        <w:t>建筑工程绿色施工评价标准</w:t>
      </w:r>
    </w:p>
    <w:p>
      <w:pPr>
        <w:ind w:firstLine="420"/>
      </w:pPr>
      <w:r>
        <w:rPr>
          <w:rFonts w:hint="eastAsia"/>
        </w:rPr>
        <w:t xml:space="preserve">GB 50661 </w:t>
      </w:r>
      <w:r>
        <w:t xml:space="preserve"> </w:t>
      </w:r>
      <w:r>
        <w:rPr>
          <w:rFonts w:hint="eastAsia"/>
        </w:rPr>
        <w:t>钢结构焊接规范</w:t>
      </w:r>
    </w:p>
    <w:p>
      <w:pPr>
        <w:ind w:firstLine="420"/>
      </w:pPr>
      <w:r>
        <w:rPr>
          <w:rFonts w:hint="eastAsia"/>
        </w:rPr>
        <w:t>GB 50666</w:t>
      </w:r>
      <w:r>
        <w:t xml:space="preserve">  </w:t>
      </w:r>
      <w:r>
        <w:rPr>
          <w:rFonts w:hint="eastAsia"/>
        </w:rPr>
        <w:t>混凝土结构工程施工规范</w:t>
      </w:r>
    </w:p>
    <w:p>
      <w:pPr>
        <w:ind w:firstLine="420"/>
      </w:pPr>
      <w:r>
        <w:t>GB 50755</w:t>
      </w:r>
      <w:r>
        <w:rPr>
          <w:rFonts w:hint="eastAsia"/>
        </w:rPr>
        <w:t xml:space="preserve"> </w:t>
      </w:r>
      <w:r>
        <w:t xml:space="preserve"> 钢结构工程施工规范</w:t>
      </w:r>
    </w:p>
    <w:p>
      <w:pPr>
        <w:ind w:firstLine="420"/>
      </w:pPr>
      <w:r>
        <w:rPr>
          <w:rFonts w:hint="eastAsia"/>
        </w:rPr>
        <w:t>GB 50936</w:t>
      </w:r>
      <w:r>
        <w:t xml:space="preserve">  </w:t>
      </w:r>
      <w:r>
        <w:rPr>
          <w:rFonts w:hint="eastAsia"/>
        </w:rPr>
        <w:t>钢管混凝土结构技术规范</w:t>
      </w:r>
    </w:p>
    <w:p>
      <w:pPr>
        <w:ind w:firstLine="420"/>
      </w:pPr>
      <w:r>
        <w:t>G</w:t>
      </w:r>
      <w:r>
        <w:rPr>
          <w:rFonts w:hint="eastAsia"/>
        </w:rPr>
        <w:t>B/T 51129</w:t>
      </w:r>
      <w:r>
        <w:t xml:space="preserve">  </w:t>
      </w:r>
      <w:r>
        <w:rPr>
          <w:rFonts w:hint="eastAsia"/>
        </w:rPr>
        <w:t>装配式建筑评价标准</w:t>
      </w:r>
    </w:p>
    <w:p>
      <w:pPr>
        <w:ind w:firstLine="420"/>
      </w:pPr>
      <w:r>
        <w:rPr>
          <w:rFonts w:hint="eastAsia"/>
        </w:rPr>
        <w:t>GB/T 51231</w:t>
      </w:r>
      <w:r>
        <w:t xml:space="preserve">  </w:t>
      </w:r>
      <w:r>
        <w:rPr>
          <w:rFonts w:hint="eastAsia"/>
        </w:rPr>
        <w:t>装配式混凝土建筑技术标准</w:t>
      </w:r>
    </w:p>
    <w:p>
      <w:pPr>
        <w:ind w:firstLine="420"/>
      </w:pPr>
      <w:r>
        <w:rPr>
          <w:rFonts w:hint="eastAsia"/>
        </w:rPr>
        <w:t>GB/T 51232</w:t>
      </w:r>
      <w:r>
        <w:t xml:space="preserve">  </w:t>
      </w:r>
      <w:r>
        <w:rPr>
          <w:rFonts w:hint="eastAsia"/>
        </w:rPr>
        <w:t>装配式钢结构建筑技术标准</w:t>
      </w:r>
    </w:p>
    <w:p>
      <w:pPr>
        <w:ind w:firstLine="400"/>
      </w:pPr>
      <w:r>
        <w:rPr>
          <w:rFonts w:hint="eastAsia"/>
          <w:spacing w:val="-5"/>
        </w:rPr>
        <w:t>G</w:t>
      </w:r>
      <w:r>
        <w:rPr>
          <w:spacing w:val="-5"/>
        </w:rPr>
        <w:t>B 51249</w:t>
      </w:r>
      <w:r>
        <w:rPr>
          <w:rFonts w:hint="eastAsia"/>
          <w:spacing w:val="-5"/>
        </w:rPr>
        <w:t xml:space="preserve">  建筑钢结构防火技术规范</w:t>
      </w:r>
    </w:p>
    <w:p>
      <w:pPr>
        <w:ind w:firstLine="420"/>
      </w:pPr>
      <w:r>
        <w:rPr>
          <w:rFonts w:hint="eastAsia"/>
        </w:rPr>
        <w:t>G</w:t>
      </w:r>
      <w:r>
        <w:t>B 55001  工程结构通用规范</w:t>
      </w:r>
    </w:p>
    <w:p>
      <w:pPr>
        <w:ind w:firstLine="420"/>
      </w:pPr>
      <w:r>
        <w:rPr>
          <w:rFonts w:hint="eastAsia"/>
        </w:rPr>
        <w:t>G</w:t>
      </w:r>
      <w:r>
        <w:t>B 55002  建筑与市政工程抗震通用规范</w:t>
      </w:r>
    </w:p>
    <w:p>
      <w:pPr>
        <w:ind w:firstLine="420"/>
      </w:pPr>
      <w:r>
        <w:rPr>
          <w:rFonts w:hint="eastAsia"/>
        </w:rPr>
        <w:t>G</w:t>
      </w:r>
      <w:r>
        <w:t>B 55003  建筑与市政地基基础通用规范</w:t>
      </w:r>
    </w:p>
    <w:p>
      <w:pPr>
        <w:ind w:firstLine="420"/>
      </w:pPr>
      <w:r>
        <w:rPr>
          <w:rFonts w:hint="eastAsia"/>
        </w:rPr>
        <w:t>G</w:t>
      </w:r>
      <w:r>
        <w:t>B 55004  组合结构通用规范</w:t>
      </w:r>
    </w:p>
    <w:p>
      <w:pPr>
        <w:ind w:firstLine="420"/>
      </w:pPr>
      <w:r>
        <w:rPr>
          <w:rFonts w:hint="eastAsia"/>
        </w:rPr>
        <w:t>G</w:t>
      </w:r>
      <w:r>
        <w:t>B 55006  钢结构通用规范</w:t>
      </w:r>
    </w:p>
    <w:p>
      <w:pPr>
        <w:ind w:firstLine="420"/>
      </w:pPr>
      <w:r>
        <w:rPr>
          <w:rFonts w:hint="eastAsia"/>
        </w:rPr>
        <w:t>G</w:t>
      </w:r>
      <w:r>
        <w:t>B 55008  混凝土结构通用规范</w:t>
      </w:r>
    </w:p>
    <w:p>
      <w:pPr>
        <w:ind w:firstLine="420"/>
      </w:pPr>
      <w:r>
        <w:rPr>
          <w:rFonts w:hint="eastAsia"/>
        </w:rPr>
        <w:t>JGJ</w:t>
      </w:r>
      <w:r>
        <w:t xml:space="preserve"> </w:t>
      </w:r>
      <w:r>
        <w:rPr>
          <w:rFonts w:hint="eastAsia"/>
        </w:rPr>
        <w:t>1</w:t>
      </w:r>
      <w:r>
        <w:t xml:space="preserve">  </w:t>
      </w:r>
      <w:r>
        <w:rPr>
          <w:rFonts w:hint="eastAsia"/>
        </w:rPr>
        <w:t>装配式混凝土结构技术规程</w:t>
      </w:r>
    </w:p>
    <w:p>
      <w:pPr>
        <w:ind w:firstLine="420"/>
      </w:pPr>
      <w:r>
        <w:rPr>
          <w:rFonts w:hint="eastAsia"/>
        </w:rPr>
        <w:t>JGJ</w:t>
      </w:r>
      <w:r>
        <w:t xml:space="preserve"> </w:t>
      </w:r>
      <w:r>
        <w:rPr>
          <w:rFonts w:hint="eastAsia"/>
        </w:rPr>
        <w:t>3</w:t>
      </w:r>
      <w:r>
        <w:t xml:space="preserve">  </w:t>
      </w:r>
      <w:r>
        <w:rPr>
          <w:rFonts w:hint="eastAsia"/>
        </w:rPr>
        <w:t>高层建筑混凝土结构技术规程</w:t>
      </w:r>
    </w:p>
    <w:p>
      <w:pPr>
        <w:ind w:firstLine="420"/>
      </w:pPr>
      <w:r>
        <w:rPr>
          <w:rFonts w:hint="eastAsia"/>
        </w:rPr>
        <w:t>JGJ</w:t>
      </w:r>
      <w:r>
        <w:t xml:space="preserve"> </w:t>
      </w:r>
      <w:r>
        <w:rPr>
          <w:rFonts w:hint="eastAsia"/>
        </w:rPr>
        <w:t>12</w:t>
      </w:r>
      <w:r>
        <w:t xml:space="preserve">  </w:t>
      </w:r>
      <w:r>
        <w:rPr>
          <w:rFonts w:hint="eastAsia"/>
        </w:rPr>
        <w:t>轻骨粒混凝土结构技术规程</w:t>
      </w:r>
    </w:p>
    <w:p>
      <w:pPr>
        <w:ind w:firstLine="420"/>
      </w:pPr>
      <w:r>
        <w:rPr>
          <w:rFonts w:hint="eastAsia"/>
        </w:rPr>
        <w:t>JGJ</w:t>
      </w:r>
      <w:r>
        <w:t xml:space="preserve"> </w:t>
      </w:r>
      <w:r>
        <w:rPr>
          <w:rFonts w:hint="eastAsia"/>
        </w:rPr>
        <w:t>18</w:t>
      </w:r>
      <w:r>
        <w:t xml:space="preserve">  </w:t>
      </w:r>
      <w:r>
        <w:rPr>
          <w:rFonts w:hint="eastAsia"/>
        </w:rPr>
        <w:t>钢筋焊接及验收规程</w:t>
      </w:r>
    </w:p>
    <w:p>
      <w:pPr>
        <w:ind w:firstLine="420"/>
      </w:pPr>
      <w:r>
        <w:rPr>
          <w:rFonts w:hint="eastAsia"/>
        </w:rPr>
        <w:t>JGJ/T 27  钢筋焊接接头试验方法标准</w:t>
      </w:r>
    </w:p>
    <w:p>
      <w:pPr>
        <w:ind w:firstLine="420"/>
      </w:pPr>
      <w:r>
        <w:rPr>
          <w:rFonts w:hint="eastAsia"/>
        </w:rPr>
        <w:t>JGJ 33 建筑机械使用安全技术规程</w:t>
      </w:r>
    </w:p>
    <w:p>
      <w:pPr>
        <w:ind w:firstLine="420"/>
      </w:pPr>
      <w:r>
        <w:rPr>
          <w:rFonts w:hint="eastAsia"/>
        </w:rPr>
        <w:t>JGJ 46 施工现场临时用电安全技术规范</w:t>
      </w:r>
    </w:p>
    <w:p>
      <w:pPr>
        <w:ind w:firstLine="420"/>
      </w:pPr>
      <w:r>
        <w:rPr>
          <w:rFonts w:hint="eastAsia"/>
        </w:rPr>
        <w:t>JGJ 80  建筑施工高处作业安全技术规范</w:t>
      </w:r>
    </w:p>
    <w:p>
      <w:pPr>
        <w:ind w:firstLine="420"/>
      </w:pPr>
      <w:r>
        <w:rPr>
          <w:rFonts w:hint="eastAsia"/>
        </w:rPr>
        <w:t>JGJ</w:t>
      </w:r>
      <w:r>
        <w:t xml:space="preserve"> </w:t>
      </w:r>
      <w:r>
        <w:rPr>
          <w:rFonts w:hint="eastAsia"/>
        </w:rPr>
        <w:t>82</w:t>
      </w:r>
      <w:r>
        <w:t xml:space="preserve">  </w:t>
      </w:r>
      <w:r>
        <w:rPr>
          <w:rFonts w:hint="eastAsia"/>
        </w:rPr>
        <w:t>钢结构高强度螺栓连接技术规程</w:t>
      </w:r>
    </w:p>
    <w:p>
      <w:pPr>
        <w:ind w:firstLine="420"/>
      </w:pPr>
      <w:r>
        <w:rPr>
          <w:rFonts w:hint="eastAsia"/>
        </w:rPr>
        <w:t>JGJ 95</w:t>
      </w:r>
      <w:r>
        <w:t xml:space="preserve">  </w:t>
      </w:r>
      <w:r>
        <w:rPr>
          <w:rFonts w:hint="eastAsia"/>
        </w:rPr>
        <w:t>冷轧带肋钢筋混凝土结构技术规程</w:t>
      </w:r>
    </w:p>
    <w:p>
      <w:pPr>
        <w:ind w:firstLine="420"/>
      </w:pPr>
      <w:r>
        <w:rPr>
          <w:rFonts w:hint="eastAsia"/>
        </w:rPr>
        <w:t>JGJ 99</w:t>
      </w:r>
      <w:r>
        <w:t xml:space="preserve">  </w:t>
      </w:r>
      <w:r>
        <w:rPr>
          <w:rFonts w:hint="eastAsia"/>
        </w:rPr>
        <w:t>高层民用建筑钢结构技术规程</w:t>
      </w:r>
    </w:p>
    <w:p>
      <w:pPr>
        <w:ind w:firstLine="420"/>
      </w:pPr>
      <w:r>
        <w:rPr>
          <w:rFonts w:hint="eastAsia"/>
        </w:rPr>
        <w:t>JGJ 107</w:t>
      </w:r>
      <w:r>
        <w:t xml:space="preserve">  </w:t>
      </w:r>
      <w:r>
        <w:rPr>
          <w:rFonts w:hint="eastAsia"/>
        </w:rPr>
        <w:t>钢筋机械连接技术规程</w:t>
      </w:r>
    </w:p>
    <w:p>
      <w:pPr>
        <w:ind w:firstLine="420"/>
      </w:pPr>
      <w:r>
        <w:rPr>
          <w:rFonts w:hint="eastAsia"/>
        </w:rPr>
        <w:t>JGJ 114</w:t>
      </w:r>
      <w:r>
        <w:t xml:space="preserve">  </w:t>
      </w:r>
      <w:r>
        <w:rPr>
          <w:rFonts w:hint="eastAsia"/>
        </w:rPr>
        <w:t>钢筋焊接网混凝土结构技术规程</w:t>
      </w:r>
    </w:p>
    <w:p>
      <w:pPr>
        <w:ind w:firstLine="420"/>
      </w:pPr>
      <w:r>
        <w:rPr>
          <w:rFonts w:hint="eastAsia"/>
        </w:rPr>
        <w:t>J</w:t>
      </w:r>
      <w:r>
        <w:t>GJ 138  组合结构设计规范</w:t>
      </w:r>
    </w:p>
    <w:p>
      <w:pPr>
        <w:ind w:firstLine="420"/>
      </w:pPr>
      <w:r>
        <w:rPr>
          <w:rFonts w:hint="eastAsia"/>
        </w:rPr>
        <w:t>JGJ 146 建筑施工现场环境与卫生标准</w:t>
      </w:r>
    </w:p>
    <w:p>
      <w:pPr>
        <w:ind w:firstLine="420"/>
      </w:pPr>
      <w:r>
        <w:rPr>
          <w:rFonts w:hint="eastAsia"/>
        </w:rPr>
        <w:t>JG/T 163  钢筋机械连接用套筒</w:t>
      </w:r>
    </w:p>
    <w:p>
      <w:pPr>
        <w:ind w:firstLine="420"/>
      </w:pPr>
      <w:r>
        <w:rPr>
          <w:rFonts w:hint="eastAsia"/>
        </w:rPr>
        <w:t>JG/T 178 建筑结构用冷弯矩形钢管</w:t>
      </w:r>
    </w:p>
    <w:p>
      <w:pPr>
        <w:ind w:firstLine="420"/>
      </w:pPr>
      <w:r>
        <w:rPr>
          <w:rFonts w:hint="eastAsia"/>
        </w:rPr>
        <w:t>JGJ/T 221  纤维混凝土应用技术规程</w:t>
      </w:r>
    </w:p>
    <w:p>
      <w:pPr>
        <w:ind w:firstLine="420"/>
      </w:pPr>
      <w:r>
        <w:rPr>
          <w:rFonts w:hint="eastAsia"/>
        </w:rPr>
        <w:t>JGJ/T 240  再生骨料应用技术规程</w:t>
      </w:r>
    </w:p>
    <w:p>
      <w:pPr>
        <w:ind w:firstLine="420"/>
      </w:pPr>
      <w:r>
        <w:rPr>
          <w:rFonts w:hint="eastAsia"/>
        </w:rPr>
        <w:t>JGJ/T 251  建筑钢结构防腐蚀技术规程</w:t>
      </w:r>
    </w:p>
    <w:p>
      <w:pPr>
        <w:ind w:firstLine="420"/>
      </w:pPr>
      <w:r>
        <w:rPr>
          <w:rFonts w:hint="eastAsia"/>
        </w:rPr>
        <w:t>JGJ</w:t>
      </w:r>
      <w:r>
        <w:t xml:space="preserve"> </w:t>
      </w:r>
      <w:r>
        <w:rPr>
          <w:rFonts w:hint="eastAsia"/>
        </w:rPr>
        <w:t>256</w:t>
      </w:r>
      <w:r>
        <w:t xml:space="preserve">  </w:t>
      </w:r>
      <w:r>
        <w:rPr>
          <w:rFonts w:hint="eastAsia"/>
        </w:rPr>
        <w:t>钢筋锚固板应用技术规程</w:t>
      </w:r>
    </w:p>
    <w:p>
      <w:pPr>
        <w:ind w:firstLine="420"/>
      </w:pPr>
      <w:r>
        <w:rPr>
          <w:rFonts w:hint="eastAsia"/>
        </w:rPr>
        <w:t>JGJ 276 建筑施工起重吊装工程安全技术规范</w:t>
      </w:r>
    </w:p>
    <w:p>
      <w:pPr>
        <w:ind w:firstLine="420"/>
      </w:pPr>
      <w:r>
        <w:rPr>
          <w:rFonts w:hint="eastAsia"/>
        </w:rPr>
        <w:t>J</w:t>
      </w:r>
      <w:r>
        <w:t>GJ/T 283  自密实混凝土应用技术规程</w:t>
      </w:r>
    </w:p>
    <w:p>
      <w:pPr>
        <w:ind w:firstLine="420"/>
      </w:pPr>
      <w:r>
        <w:rPr>
          <w:rFonts w:hint="eastAsia"/>
        </w:rPr>
        <w:t>D</w:t>
      </w:r>
      <w:r>
        <w:t>B42/T 2179  装配式建筑评价标准</w:t>
      </w:r>
    </w:p>
    <w:p>
      <w:pPr>
        <w:pStyle w:val="2"/>
        <w:keepNext w:val="0"/>
        <w:keepLines w:val="0"/>
        <w:spacing w:before="240" w:after="240"/>
      </w:pPr>
      <w:bookmarkStart w:id="28" w:name="_Toc185448847"/>
      <w:bookmarkStart w:id="29" w:name="_Toc186641445"/>
      <w:bookmarkStart w:id="30" w:name="_Toc185448937"/>
      <w:bookmarkStart w:id="31" w:name="_Toc5477"/>
      <w:bookmarkStart w:id="32" w:name="_Toc19801"/>
      <w:r>
        <w:t>术语</w:t>
      </w:r>
      <w:bookmarkEnd w:id="28"/>
      <w:bookmarkEnd w:id="29"/>
      <w:bookmarkEnd w:id="30"/>
      <w:bookmarkEnd w:id="31"/>
      <w:bookmarkEnd w:id="32"/>
    </w:p>
    <w:p>
      <w:pPr>
        <w:pStyle w:val="3"/>
        <w:spacing w:before="120" w:after="120"/>
      </w:pPr>
      <w:bookmarkStart w:id="33" w:name="_Toc186641446"/>
      <w:r>
        <w:t>装配式混合框架结构</w:t>
      </w:r>
      <w:r>
        <w:rPr>
          <w:rFonts w:hint="eastAsia"/>
        </w:rPr>
        <w:t xml:space="preserve"> </w:t>
      </w:r>
      <w:r>
        <w:t>Prefabricated hybrid frame structure</w:t>
      </w:r>
      <w:bookmarkEnd w:id="33"/>
    </w:p>
    <w:p>
      <w:pPr>
        <w:ind w:firstLine="420"/>
        <w:rPr>
          <w:b/>
          <w:bCs/>
          <w:color w:val="FF0000"/>
        </w:rPr>
      </w:pPr>
      <w:r>
        <w:rPr>
          <w:rFonts w:hint="eastAsia"/>
        </w:rPr>
        <w:t>满足装配式建筑评价标准的混合框架结构。</w:t>
      </w:r>
      <w:r>
        <w:t>本文件中混合框架结构</w:t>
      </w:r>
      <w:r>
        <w:rPr>
          <w:rFonts w:hint="eastAsia"/>
        </w:rPr>
        <w:t>由梁柱节点处开孔的矩形钢管混凝土柱-钢筋混凝土梁结构（简称CF</w:t>
      </w:r>
      <w:r>
        <w:t>R</w:t>
      </w:r>
      <w:r>
        <w:rPr>
          <w:rFonts w:hint="eastAsia"/>
        </w:rPr>
        <w:t>ST-RB结构）、圆形钢管混凝土柱-钢筋混凝土梁结构（简称CF</w:t>
      </w:r>
      <w:r>
        <w:t>C</w:t>
      </w:r>
      <w:r>
        <w:rPr>
          <w:rFonts w:hint="eastAsia"/>
        </w:rPr>
        <w:t>ST-RB结构）和装配式钢筋混凝土柱-钢梁结构（简称RC-SB结构）组成的框架结构。</w:t>
      </w:r>
    </w:p>
    <w:p>
      <w:pPr>
        <w:pStyle w:val="3"/>
        <w:spacing w:before="120" w:after="120"/>
        <w:rPr>
          <w:rFonts w:ascii="黑体" w:hAnsi="黑体"/>
        </w:rPr>
      </w:pPr>
      <w:bookmarkStart w:id="34" w:name="_Toc186641447"/>
      <w:r>
        <w:rPr>
          <w:rFonts w:hint="eastAsia" w:ascii="黑体" w:hAnsi="黑体"/>
        </w:rPr>
        <w:t>矩形钢管混凝土柱-钢筋混凝土梁结构（CFRST-RB结构）</w:t>
      </w:r>
      <w:r>
        <w:rPr>
          <w:rFonts w:ascii="黑体" w:hAnsi="黑体"/>
        </w:rPr>
        <w:t xml:space="preserve">Concrete-filled rectangular         </w:t>
      </w:r>
      <w:r>
        <w:rPr>
          <w:rFonts w:ascii="黑体" w:hAnsi="黑体"/>
          <w:bCs w:val="0"/>
        </w:rPr>
        <w:t>steel tube columns - Reinforced concrete beam structures</w:t>
      </w:r>
      <w:bookmarkEnd w:id="34"/>
    </w:p>
    <w:p>
      <w:pPr>
        <w:ind w:firstLine="420"/>
      </w:pPr>
      <w:r>
        <w:rPr>
          <w:rFonts w:hint="eastAsia"/>
        </w:rPr>
        <w:t>由梁、柱节点处开大孔的矩形钢管混凝土柱-钢筋混凝土梁组成的结构。</w:t>
      </w:r>
    </w:p>
    <w:p>
      <w:pPr>
        <w:pStyle w:val="3"/>
        <w:spacing w:before="120" w:after="120"/>
        <w:rPr>
          <w:rFonts w:ascii="黑体" w:hAnsi="黑体"/>
        </w:rPr>
      </w:pPr>
      <w:bookmarkStart w:id="35" w:name="_Toc186641448"/>
      <w:r>
        <w:rPr>
          <w:rFonts w:hint="eastAsia" w:ascii="黑体" w:hAnsi="黑体"/>
        </w:rPr>
        <w:t>圆形钢管混凝土柱-钢筋混凝土梁结构（CF</w:t>
      </w:r>
      <w:r>
        <w:rPr>
          <w:rFonts w:ascii="黑体" w:hAnsi="黑体"/>
        </w:rPr>
        <w:t>C</w:t>
      </w:r>
      <w:r>
        <w:rPr>
          <w:rFonts w:hint="eastAsia" w:ascii="黑体" w:hAnsi="黑体"/>
        </w:rPr>
        <w:t>ST-RB结构）</w:t>
      </w:r>
      <w:r>
        <w:rPr>
          <w:rFonts w:ascii="黑体" w:hAnsi="黑体"/>
        </w:rPr>
        <w:t xml:space="preserve">Concrete-filled circular </w:t>
      </w:r>
      <w:r>
        <w:rPr>
          <w:rFonts w:ascii="黑体" w:hAnsi="黑体"/>
          <w:bCs w:val="0"/>
        </w:rPr>
        <w:t>steel tube    columns - Reinforced concrete beam structures</w:t>
      </w:r>
      <w:bookmarkEnd w:id="35"/>
    </w:p>
    <w:p>
      <w:pPr>
        <w:ind w:firstLine="420"/>
      </w:pPr>
      <w:r>
        <w:rPr>
          <w:rFonts w:hint="eastAsia"/>
        </w:rPr>
        <w:t>由梁、柱节点处开大孔的圆形钢管混凝土柱-钢筋混凝土梁组成的结构。</w:t>
      </w:r>
    </w:p>
    <w:p>
      <w:pPr>
        <w:pStyle w:val="3"/>
        <w:spacing w:before="120" w:after="120"/>
        <w:rPr>
          <w:rFonts w:ascii="黑体" w:hAnsi="黑体"/>
        </w:rPr>
      </w:pPr>
      <w:bookmarkStart w:id="36" w:name="_Toc186641449"/>
      <w:r>
        <w:rPr>
          <w:rFonts w:hint="eastAsia" w:ascii="黑体" w:hAnsi="黑体"/>
        </w:rPr>
        <w:t>装配式钢筋混凝土柱-钢梁结构（RC-SB结构）</w:t>
      </w:r>
      <w:r>
        <w:rPr>
          <w:rFonts w:ascii="黑体" w:hAnsi="黑体"/>
        </w:rPr>
        <w:t>Prefabricated reinforced concrete         column - Steel beam structures</w:t>
      </w:r>
      <w:bookmarkEnd w:id="36"/>
    </w:p>
    <w:p>
      <w:pPr>
        <w:ind w:firstLine="420"/>
      </w:pPr>
      <w:r>
        <w:rPr>
          <w:rFonts w:hint="eastAsia"/>
        </w:rPr>
        <w:t>采用免拆模壳钢筋一体化安装工法的钢筋混凝土柱和钢梁组成的结构。</w:t>
      </w:r>
    </w:p>
    <w:p>
      <w:pPr>
        <w:pStyle w:val="2"/>
        <w:keepNext w:val="0"/>
        <w:keepLines w:val="0"/>
        <w:spacing w:before="240" w:after="240"/>
      </w:pPr>
      <w:bookmarkStart w:id="37" w:name="_Toc7792"/>
      <w:bookmarkStart w:id="38" w:name="_Toc186641450"/>
      <w:bookmarkStart w:id="39" w:name="_Toc182836596"/>
      <w:r>
        <w:rPr>
          <w:rFonts w:hint="eastAsia"/>
        </w:rPr>
        <w:t>符号</w:t>
      </w:r>
      <w:bookmarkEnd w:id="37"/>
      <w:bookmarkEnd w:id="38"/>
      <w:bookmarkEnd w:id="39"/>
    </w:p>
    <w:p>
      <w:pPr>
        <w:pStyle w:val="3"/>
        <w:spacing w:before="120" w:after="120"/>
      </w:pPr>
      <w:bookmarkStart w:id="40" w:name="_Toc186641451"/>
      <w:r>
        <w:rPr>
          <w:rFonts w:hint="eastAsia"/>
        </w:rPr>
        <w:t>作用和作用效应</w:t>
      </w:r>
      <w:bookmarkEnd w:id="40"/>
    </w:p>
    <w:p>
      <w:pPr>
        <w:ind w:firstLine="420"/>
      </w:pPr>
      <w:r>
        <w:rPr>
          <w:rFonts w:cs="Times New Roman"/>
          <w:i/>
        </w:rPr>
        <w:t>μ</w:t>
      </w:r>
      <w:r>
        <w:rPr>
          <w:rFonts w:hint="eastAsia"/>
          <w:vertAlign w:val="subscript"/>
        </w:rPr>
        <w:t>s</w:t>
      </w:r>
      <w:r>
        <w:t>——</w:t>
      </w:r>
      <w:r>
        <w:rPr>
          <w:rFonts w:hint="eastAsia"/>
        </w:rPr>
        <w:t>风荷载体型系数；</w:t>
      </w:r>
    </w:p>
    <w:p>
      <w:pPr>
        <w:ind w:firstLine="420"/>
      </w:pPr>
      <w:r>
        <w:rPr>
          <w:rFonts w:cs="Times New Roman"/>
          <w:i/>
        </w:rPr>
        <w:t>α</w:t>
      </w:r>
      <w:r>
        <w:rPr>
          <w:vertAlign w:val="subscript"/>
        </w:rPr>
        <w:t>max</w:t>
      </w:r>
      <w:r>
        <w:t>——地震影响系数最大值</w:t>
      </w:r>
      <w:r>
        <w:rPr>
          <w:rFonts w:hint="eastAsia"/>
        </w:rPr>
        <w:t>；</w:t>
      </w:r>
    </w:p>
    <w:p>
      <w:pPr>
        <w:ind w:firstLine="420"/>
      </w:pPr>
      <w:r>
        <w:rPr>
          <w:rFonts w:hint="eastAsia"/>
          <w:i/>
        </w:rPr>
        <w:t>M</w:t>
      </w:r>
      <w:r>
        <w:t>——</w:t>
      </w:r>
      <w:r>
        <w:rPr>
          <w:rFonts w:hint="eastAsia"/>
        </w:rPr>
        <w:t>弯矩；</w:t>
      </w:r>
    </w:p>
    <w:p>
      <w:pPr>
        <w:ind w:firstLine="420"/>
      </w:pPr>
      <w:r>
        <w:rPr>
          <w:rFonts w:hint="eastAsia"/>
          <w:i/>
        </w:rPr>
        <w:t>N</w:t>
      </w:r>
      <w:r>
        <w:t>——</w:t>
      </w:r>
      <w:r>
        <w:rPr>
          <w:rFonts w:hint="eastAsia"/>
        </w:rPr>
        <w:t>轴向压力；</w:t>
      </w:r>
    </w:p>
    <w:p>
      <w:pPr>
        <w:ind w:firstLine="420"/>
      </w:pPr>
      <w:r>
        <w:rPr>
          <w:rFonts w:hint="eastAsia"/>
          <w:i/>
        </w:rPr>
        <w:t>N</w:t>
      </w:r>
      <w:r>
        <w:rPr>
          <w:rFonts w:hint="eastAsia"/>
          <w:iCs/>
          <w:vertAlign w:val="subscript"/>
        </w:rPr>
        <w:t>0</w:t>
      </w:r>
      <w:r>
        <w:t>——</w:t>
      </w:r>
      <w:r>
        <w:rPr>
          <w:rFonts w:hint="eastAsia"/>
        </w:rPr>
        <w:t>柱的轴压承载力；</w:t>
      </w:r>
    </w:p>
    <w:p>
      <w:pPr>
        <w:ind w:firstLine="420"/>
      </w:pPr>
      <w:r>
        <w:rPr>
          <w:rFonts w:hint="eastAsia"/>
          <w:i/>
        </w:rPr>
        <w:t>N</w:t>
      </w:r>
      <w:r>
        <w:rPr>
          <w:rFonts w:hint="eastAsia"/>
          <w:iCs/>
          <w:vertAlign w:val="subscript"/>
        </w:rPr>
        <w:t>c</w:t>
      </w:r>
      <w:r>
        <w:t>——</w:t>
      </w:r>
      <w:r>
        <w:rPr>
          <w:rFonts w:hint="eastAsia"/>
        </w:rPr>
        <w:t>开孔区域钢管内填混凝土轴压承载力；</w:t>
      </w:r>
    </w:p>
    <w:p>
      <w:pPr>
        <w:ind w:firstLine="420"/>
      </w:pPr>
      <w:r>
        <w:rPr>
          <w:rFonts w:hint="eastAsia"/>
          <w:i/>
        </w:rPr>
        <w:t>N</w:t>
      </w:r>
      <w:r>
        <w:rPr>
          <w:rFonts w:hint="eastAsia"/>
          <w:iCs/>
          <w:vertAlign w:val="subscript"/>
        </w:rPr>
        <w:t>s</w:t>
      </w:r>
      <w:r>
        <w:t>——</w:t>
      </w:r>
      <w:r>
        <w:rPr>
          <w:rFonts w:hint="eastAsia"/>
        </w:rPr>
        <w:t>开孔区域单根角钢轴压承载力；</w:t>
      </w:r>
    </w:p>
    <w:p>
      <w:pPr>
        <w:ind w:left="1260" w:leftChars="200" w:hanging="840" w:hangingChars="400"/>
      </w:pPr>
      <w:r>
        <w:rPr>
          <w:rFonts w:hint="eastAsia"/>
          <w:i/>
        </w:rPr>
        <w:t>N</w:t>
      </w:r>
      <w:r>
        <w:rPr>
          <w:rFonts w:hint="eastAsia"/>
          <w:iCs/>
          <w:vertAlign w:val="subscript"/>
        </w:rPr>
        <w:t>s1</w:t>
      </w:r>
      <w:r>
        <w:rPr>
          <w:rFonts w:hint="eastAsia"/>
        </w:rPr>
        <w:t>——按照截面强度验算得到的轴压承载力；</w:t>
      </w:r>
    </w:p>
    <w:p>
      <w:pPr>
        <w:ind w:firstLine="409" w:firstLineChars="195"/>
      </w:pPr>
      <w:r>
        <w:rPr>
          <w:rFonts w:hint="eastAsia"/>
          <w:i/>
        </w:rPr>
        <w:t>N</w:t>
      </w:r>
      <w:r>
        <w:rPr>
          <w:rFonts w:hint="eastAsia"/>
          <w:iCs/>
          <w:vertAlign w:val="subscript"/>
        </w:rPr>
        <w:t>s2</w:t>
      </w:r>
      <w:r>
        <w:rPr>
          <w:rFonts w:hint="eastAsia"/>
        </w:rPr>
        <w:t>——按照截面稳定验算得到的轴压承载力；</w:t>
      </w:r>
    </w:p>
    <w:p>
      <w:pPr>
        <w:ind w:firstLine="420"/>
      </w:pPr>
      <w:r>
        <w:rPr>
          <w:rFonts w:hint="eastAsia"/>
          <w:i/>
        </w:rPr>
        <w:t>V</w:t>
      </w:r>
      <w:r>
        <w:t>——</w:t>
      </w:r>
      <w:r>
        <w:rPr>
          <w:rFonts w:hint="eastAsia"/>
        </w:rPr>
        <w:t>剪力；</w:t>
      </w:r>
    </w:p>
    <w:p>
      <w:pPr>
        <w:ind w:firstLine="420"/>
      </w:pPr>
      <w:r>
        <w:rPr>
          <w:rFonts w:hint="eastAsia"/>
          <w:i/>
        </w:rPr>
        <w:t>V</w:t>
      </w:r>
      <w:r>
        <w:rPr>
          <w:rFonts w:hint="eastAsia"/>
          <w:iCs/>
          <w:vertAlign w:val="subscript"/>
        </w:rPr>
        <w:t>j</w:t>
      </w:r>
      <w:r>
        <w:t>——</w:t>
      </w:r>
      <w:r>
        <w:rPr>
          <w:rFonts w:hint="eastAsia"/>
        </w:rPr>
        <w:t>节点的抗震受剪承载力；</w:t>
      </w:r>
    </w:p>
    <w:p>
      <w:pPr>
        <w:ind w:firstLine="420"/>
      </w:pPr>
      <w:r>
        <w:rPr>
          <w:rFonts w:hint="eastAsia"/>
          <w:i/>
        </w:rPr>
        <w:t>V</w:t>
      </w:r>
      <w:r>
        <w:rPr>
          <w:rFonts w:hint="eastAsia"/>
          <w:iCs/>
          <w:vertAlign w:val="subscript"/>
        </w:rPr>
        <w:t>js</w:t>
      </w:r>
      <w:r>
        <w:t>——</w:t>
      </w:r>
      <w:r>
        <w:rPr>
          <w:rFonts w:hint="eastAsia"/>
        </w:rPr>
        <w:t>节点域开孔钢管部分的抗剪能力；</w:t>
      </w:r>
    </w:p>
    <w:p>
      <w:pPr>
        <w:ind w:firstLine="420"/>
      </w:pPr>
      <w:r>
        <w:rPr>
          <w:rFonts w:hint="eastAsia"/>
          <w:i/>
        </w:rPr>
        <w:t>V</w:t>
      </w:r>
      <w:r>
        <w:rPr>
          <w:rFonts w:hint="eastAsia"/>
          <w:iCs/>
          <w:vertAlign w:val="subscript"/>
        </w:rPr>
        <w:t>jc</w:t>
      </w:r>
      <w:r>
        <w:t>——</w:t>
      </w:r>
      <w:r>
        <w:rPr>
          <w:rFonts w:hint="eastAsia"/>
        </w:rPr>
        <w:t>节点域开孔钢管内填混凝土部分的抗剪能力；</w:t>
      </w:r>
    </w:p>
    <w:p>
      <w:pPr>
        <w:ind w:firstLine="409" w:firstLineChars="195"/>
        <w:rPr>
          <w:rFonts w:cs="Times New Roman"/>
          <w:szCs w:val="21"/>
        </w:rPr>
      </w:pPr>
      <w:r>
        <w:rPr>
          <w:rFonts w:cs="Times New Roman"/>
          <w:i/>
          <w:szCs w:val="21"/>
        </w:rPr>
        <w:t>V</w:t>
      </w:r>
      <w:r>
        <w:rPr>
          <w:rFonts w:cs="Times New Roman"/>
          <w:szCs w:val="21"/>
          <w:vertAlign w:val="subscript"/>
        </w:rPr>
        <w:t>cs</w:t>
      </w:r>
      <w:r>
        <w:rPr>
          <w:rFonts w:cs="Times New Roman"/>
        </w:rPr>
        <w:t>——</w:t>
      </w:r>
      <w:r>
        <w:rPr>
          <w:rFonts w:cs="Times New Roman"/>
          <w:szCs w:val="21"/>
        </w:rPr>
        <w:t>节点核心区斜截面上混凝土和箍筋的受剪承载力设计值；</w:t>
      </w:r>
    </w:p>
    <w:p>
      <w:pPr>
        <w:ind w:firstLine="409" w:firstLineChars="195"/>
        <w:rPr>
          <w:rFonts w:ascii="宋体" w:hAnsi="宋体"/>
          <w:szCs w:val="21"/>
        </w:rPr>
      </w:pPr>
      <w:r>
        <w:rPr>
          <w:rFonts w:cs="Times New Roman"/>
          <w:i/>
          <w:szCs w:val="21"/>
        </w:rPr>
        <w:t>V</w:t>
      </w:r>
      <w:r>
        <w:rPr>
          <w:rFonts w:cs="Times New Roman"/>
          <w:szCs w:val="21"/>
          <w:vertAlign w:val="subscript"/>
        </w:rPr>
        <w:t>s</w:t>
      </w:r>
      <w:r>
        <w:rPr>
          <w:rFonts w:hint="eastAsia"/>
        </w:rPr>
        <w:t>——</w:t>
      </w:r>
      <w:r>
        <w:rPr>
          <w:rFonts w:hint="eastAsia" w:ascii="宋体" w:hAnsi="宋体"/>
          <w:szCs w:val="21"/>
        </w:rPr>
        <w:t>外包钢管的受剪承载力设计值；</w:t>
      </w:r>
    </w:p>
    <w:p>
      <w:pPr>
        <w:ind w:firstLine="409" w:firstLineChars="195"/>
      </w:pPr>
      <w:r>
        <w:rPr>
          <w:rFonts w:cs="Times New Roman"/>
          <w:i/>
        </w:rPr>
        <w:t>σ</w:t>
      </w:r>
      <w:r>
        <w:rPr>
          <w:rFonts w:cs="Times New Roman"/>
          <w:vertAlign w:val="subscript"/>
        </w:rPr>
        <w:t>θ</w:t>
      </w:r>
      <w:r>
        <w:rPr>
          <w:rFonts w:hint="eastAsia"/>
        </w:rPr>
        <w:t>——未削弱</w:t>
      </w:r>
      <w:r>
        <w:t>CFST</w:t>
      </w:r>
      <w:r>
        <w:rPr>
          <w:rFonts w:hint="eastAsia"/>
        </w:rPr>
        <w:t>柱中钢管平均横向应力；</w:t>
      </w:r>
    </w:p>
    <w:p>
      <w:pPr>
        <w:ind w:firstLine="409" w:firstLineChars="195"/>
      </w:pPr>
      <w:r>
        <w:rPr>
          <w:rFonts w:hint="eastAsia"/>
          <w:i/>
        </w:rPr>
        <w:t>q</w:t>
      </w:r>
      <w:r>
        <w:rPr>
          <w:rFonts w:hint="eastAsia"/>
        </w:rPr>
        <w:t>——单根角钢受到的横向线荷载；</w:t>
      </w:r>
    </w:p>
    <w:p>
      <w:pPr>
        <w:pStyle w:val="3"/>
        <w:spacing w:before="120" w:after="120"/>
      </w:pPr>
      <w:bookmarkStart w:id="41" w:name="_Toc186641452"/>
      <w:r>
        <w:rPr>
          <w:rFonts w:hint="eastAsia"/>
        </w:rPr>
        <w:t>计算指标</w:t>
      </w:r>
      <w:bookmarkEnd w:id="41"/>
    </w:p>
    <w:p>
      <w:pPr>
        <w:ind w:firstLine="420"/>
      </w:pPr>
      <w:r>
        <w:rPr>
          <w:rFonts w:cs="Times New Roman"/>
          <w:i/>
        </w:rPr>
        <w:t>E</w:t>
      </w:r>
      <w:r>
        <w:rPr>
          <w:rFonts w:hint="eastAsia"/>
          <w:vertAlign w:val="subscript"/>
        </w:rPr>
        <w:t>s</w:t>
      </w:r>
      <w:r>
        <w:t>——</w:t>
      </w:r>
      <w:r>
        <w:rPr>
          <w:rFonts w:hint="eastAsia"/>
        </w:rPr>
        <w:t>钢材的弹性模量；</w:t>
      </w:r>
    </w:p>
    <w:p>
      <w:pPr>
        <w:ind w:firstLine="420"/>
      </w:pPr>
      <w:r>
        <w:rPr>
          <w:rFonts w:cs="Times New Roman"/>
          <w:i/>
        </w:rPr>
        <w:t>E</w:t>
      </w:r>
      <w:r>
        <w:rPr>
          <w:rFonts w:hint="eastAsia"/>
          <w:vertAlign w:val="subscript"/>
        </w:rPr>
        <w:t>c</w:t>
      </w:r>
      <w:r>
        <w:t>——</w:t>
      </w:r>
      <w:r>
        <w:rPr>
          <w:rFonts w:hint="eastAsia"/>
        </w:rPr>
        <w:t>混凝土的弹性模量；</w:t>
      </w:r>
    </w:p>
    <w:p>
      <w:pPr>
        <w:ind w:firstLine="409" w:firstLineChars="195"/>
      </w:pPr>
      <w:r>
        <w:rPr>
          <w:rFonts w:hint="eastAsia"/>
          <w:i/>
        </w:rPr>
        <w:t>K</w:t>
      </w:r>
      <w:r>
        <w:rPr>
          <w:rFonts w:hint="eastAsia"/>
        </w:rPr>
        <w:t>——钢板弹性线刚度；</w:t>
      </w:r>
    </w:p>
    <w:p>
      <w:pPr>
        <w:ind w:firstLine="420"/>
        <w:rPr>
          <w:rFonts w:ascii="宋体" w:hAnsi="宋体" w:cs="宋体"/>
          <w:color w:val="000000"/>
          <w:kern w:val="0"/>
          <w:szCs w:val="21"/>
          <w:lang w:bidi="ar"/>
        </w:rPr>
      </w:pPr>
      <w:r>
        <w:rPr>
          <w:rFonts w:cs="Times New Roman"/>
          <w:i/>
          <w:color w:val="000000"/>
          <w:kern w:val="0"/>
          <w:szCs w:val="21"/>
          <w:lang w:bidi="ar"/>
        </w:rPr>
        <w:t>f</w:t>
      </w:r>
      <w:r>
        <w:t>——</w:t>
      </w:r>
      <w:r>
        <w:rPr>
          <w:rFonts w:hint="eastAsia"/>
        </w:rPr>
        <w:t>钢材的抗拉、抗压和抗弯强度设计值</w:t>
      </w:r>
      <w:r>
        <w:rPr>
          <w:rFonts w:hint="eastAsia" w:ascii="宋体" w:hAnsi="宋体" w:cs="宋体"/>
          <w:color w:val="000000"/>
          <w:kern w:val="0"/>
          <w:szCs w:val="21"/>
          <w:lang w:bidi="ar"/>
        </w:rPr>
        <w:t>；</w:t>
      </w:r>
    </w:p>
    <w:p>
      <w:pPr>
        <w:ind w:firstLine="420"/>
        <w:rPr>
          <w:rFonts w:ascii="宋体" w:hAnsi="宋体" w:cs="宋体"/>
          <w:color w:val="000000"/>
          <w:kern w:val="0"/>
          <w:szCs w:val="21"/>
          <w:lang w:bidi="ar"/>
        </w:rPr>
      </w:pPr>
      <w:r>
        <w:rPr>
          <w:rFonts w:cs="Times New Roman"/>
          <w:i/>
          <w:color w:val="000000"/>
          <w:kern w:val="0"/>
          <w:szCs w:val="21"/>
          <w:lang w:bidi="ar"/>
        </w:rPr>
        <w:t>f</w:t>
      </w:r>
      <w:r>
        <w:rPr>
          <w:rFonts w:hint="eastAsia" w:cs="Times New Roman"/>
          <w:color w:val="000000"/>
          <w:kern w:val="0"/>
          <w:szCs w:val="21"/>
          <w:vertAlign w:val="subscript"/>
          <w:lang w:bidi="ar"/>
        </w:rPr>
        <w:t>t</w:t>
      </w:r>
      <w:r>
        <w:t>——</w:t>
      </w:r>
      <w:r>
        <w:rPr>
          <w:rFonts w:hint="eastAsia"/>
        </w:rPr>
        <w:t>混凝土的抗拉强度设计值</w:t>
      </w:r>
      <w:r>
        <w:rPr>
          <w:rFonts w:hint="eastAsia" w:ascii="宋体" w:hAnsi="宋体" w:cs="宋体"/>
          <w:color w:val="000000"/>
          <w:kern w:val="0"/>
          <w:szCs w:val="21"/>
          <w:lang w:bidi="ar"/>
        </w:rPr>
        <w:t>；</w:t>
      </w:r>
    </w:p>
    <w:p>
      <w:pPr>
        <w:ind w:firstLine="420"/>
        <w:rPr>
          <w:rFonts w:ascii="宋体" w:hAnsi="宋体" w:cs="宋体"/>
          <w:color w:val="000000"/>
          <w:kern w:val="0"/>
          <w:szCs w:val="21"/>
          <w:lang w:bidi="ar"/>
        </w:rPr>
      </w:pPr>
      <w:r>
        <w:rPr>
          <w:rFonts w:cs="Times New Roman"/>
          <w:i/>
          <w:color w:val="000000"/>
          <w:kern w:val="0"/>
          <w:szCs w:val="21"/>
          <w:lang w:bidi="ar"/>
        </w:rPr>
        <w:t>f</w:t>
      </w:r>
      <w:r>
        <w:rPr>
          <w:rFonts w:hint="eastAsia" w:cs="Times New Roman"/>
          <w:color w:val="000000"/>
          <w:kern w:val="0"/>
          <w:szCs w:val="21"/>
          <w:vertAlign w:val="subscript"/>
          <w:lang w:bidi="ar"/>
        </w:rPr>
        <w:t>ck</w:t>
      </w:r>
      <w:r>
        <w:t>——</w:t>
      </w:r>
      <w:r>
        <w:rPr>
          <w:rFonts w:hint="eastAsia"/>
        </w:rPr>
        <w:t>混凝土轴心抗压强度标准值</w:t>
      </w:r>
      <w:r>
        <w:rPr>
          <w:rFonts w:hint="eastAsia" w:ascii="宋体" w:hAnsi="宋体" w:cs="宋体"/>
          <w:color w:val="000000"/>
          <w:kern w:val="0"/>
          <w:szCs w:val="21"/>
          <w:lang w:bidi="ar"/>
        </w:rPr>
        <w:t>；</w:t>
      </w:r>
    </w:p>
    <w:p>
      <w:pPr>
        <w:ind w:firstLine="420"/>
        <w:rPr>
          <w:rFonts w:ascii="宋体" w:hAnsi="宋体" w:cs="宋体"/>
          <w:color w:val="000000"/>
          <w:kern w:val="0"/>
          <w:szCs w:val="21"/>
          <w:lang w:bidi="ar"/>
        </w:rPr>
      </w:pPr>
      <w:r>
        <w:rPr>
          <w:rFonts w:hint="eastAsia"/>
          <w:i/>
        </w:rPr>
        <w:t>f</w:t>
      </w:r>
      <w:r>
        <w:rPr>
          <w:vertAlign w:val="subscript"/>
        </w:rPr>
        <w:t>c</w:t>
      </w:r>
      <w:r>
        <w:rPr>
          <w:rFonts w:hint="eastAsia"/>
        </w:rPr>
        <w:t>'——标定混凝土峰值压应力的圆柱体抗压强度；</w:t>
      </w:r>
    </w:p>
    <w:p>
      <w:pPr>
        <w:ind w:firstLine="420"/>
      </w:pPr>
      <w:r>
        <w:rPr>
          <w:rFonts w:cs="Times New Roman"/>
          <w:i/>
          <w:color w:val="000000"/>
          <w:kern w:val="0"/>
          <w:szCs w:val="21"/>
          <w:lang w:bidi="ar"/>
        </w:rPr>
        <w:t>f</w:t>
      </w:r>
      <w:r>
        <w:rPr>
          <w:rFonts w:hint="eastAsia" w:cs="Times New Roman"/>
          <w:color w:val="000000"/>
          <w:kern w:val="0"/>
          <w:szCs w:val="21"/>
          <w:vertAlign w:val="subscript"/>
          <w:lang w:bidi="ar"/>
        </w:rPr>
        <w:t>v</w:t>
      </w:r>
      <w:r>
        <w:t>——</w:t>
      </w:r>
      <w:r>
        <w:rPr>
          <w:rFonts w:hint="eastAsia"/>
        </w:rPr>
        <w:t>钢材的抗剪强度设计值</w:t>
      </w:r>
      <w:r>
        <w:rPr>
          <w:rFonts w:hint="eastAsia" w:ascii="宋体" w:hAnsi="宋体" w:cs="宋体"/>
          <w:color w:val="000000"/>
          <w:kern w:val="0"/>
          <w:szCs w:val="21"/>
          <w:lang w:bidi="ar"/>
        </w:rPr>
        <w:t>；</w:t>
      </w:r>
    </w:p>
    <w:p>
      <w:pPr>
        <w:ind w:firstLine="420"/>
        <w:rPr>
          <w:rFonts w:ascii="宋体" w:hAnsi="宋体" w:cs="宋体"/>
          <w:color w:val="000000"/>
          <w:kern w:val="0"/>
          <w:szCs w:val="21"/>
          <w:lang w:bidi="ar"/>
        </w:rPr>
      </w:pPr>
      <w:r>
        <w:rPr>
          <w:rFonts w:cs="Times New Roman"/>
          <w:i/>
          <w:color w:val="000000"/>
          <w:kern w:val="0"/>
          <w:szCs w:val="21"/>
          <w:lang w:bidi="ar"/>
        </w:rPr>
        <w:t>f</w:t>
      </w:r>
      <w:r>
        <w:rPr>
          <w:rFonts w:hint="eastAsia" w:cs="Times New Roman"/>
          <w:color w:val="000000"/>
          <w:kern w:val="0"/>
          <w:szCs w:val="21"/>
          <w:vertAlign w:val="subscript"/>
          <w:lang w:bidi="ar"/>
        </w:rPr>
        <w:t>y</w:t>
      </w:r>
      <w:r>
        <w:t>——</w:t>
      </w:r>
      <w:r>
        <w:rPr>
          <w:rFonts w:hint="eastAsia"/>
        </w:rPr>
        <w:t>钢材的屈服强度</w:t>
      </w:r>
      <w:r>
        <w:rPr>
          <w:rFonts w:hint="eastAsia" w:ascii="宋体" w:hAnsi="宋体" w:cs="宋体"/>
          <w:color w:val="000000"/>
          <w:kern w:val="0"/>
          <w:szCs w:val="21"/>
          <w:lang w:bidi="ar"/>
        </w:rPr>
        <w:t>；</w:t>
      </w:r>
    </w:p>
    <w:p>
      <w:pPr>
        <w:ind w:firstLine="420"/>
      </w:pPr>
      <w:r>
        <w:rPr>
          <w:rFonts w:cs="Times New Roman"/>
          <w:i/>
          <w:color w:val="000000"/>
          <w:kern w:val="0"/>
          <w:szCs w:val="21"/>
          <w:lang w:bidi="ar"/>
        </w:rPr>
        <w:t>f</w:t>
      </w:r>
      <w:r>
        <w:rPr>
          <w:rFonts w:hint="eastAsia" w:cs="Times New Roman"/>
          <w:color w:val="000000"/>
          <w:kern w:val="0"/>
          <w:szCs w:val="21"/>
          <w:vertAlign w:val="subscript"/>
          <w:lang w:bidi="ar"/>
        </w:rPr>
        <w:t>yv</w:t>
      </w:r>
      <w:r>
        <w:t>——</w:t>
      </w:r>
      <w:r>
        <w:rPr>
          <w:rFonts w:hint="eastAsia"/>
        </w:rPr>
        <w:t>箍筋的抗拉强度设计值</w:t>
      </w:r>
      <w:r>
        <w:rPr>
          <w:rFonts w:hint="eastAsia" w:ascii="宋体" w:hAnsi="宋体" w:cs="宋体"/>
          <w:color w:val="000000"/>
          <w:kern w:val="0"/>
          <w:szCs w:val="21"/>
          <w:lang w:bidi="ar"/>
        </w:rPr>
        <w:t>；</w:t>
      </w:r>
    </w:p>
    <w:p>
      <w:pPr>
        <w:ind w:firstLine="420"/>
      </w:pPr>
      <w:r>
        <w:rPr>
          <w:rFonts w:cs="Times New Roman"/>
          <w:i/>
        </w:rPr>
        <w:t>G</w:t>
      </w:r>
      <w:r>
        <w:rPr>
          <w:rFonts w:hint="eastAsia"/>
          <w:vertAlign w:val="subscript"/>
        </w:rPr>
        <w:t>s</w:t>
      </w:r>
      <w:r>
        <w:t>——</w:t>
      </w:r>
      <w:r>
        <w:rPr>
          <w:rFonts w:hint="eastAsia"/>
        </w:rPr>
        <w:t>钢材的剪变模量；</w:t>
      </w:r>
    </w:p>
    <w:p>
      <w:pPr>
        <w:ind w:firstLine="420"/>
      </w:pPr>
      <w:r>
        <w:rPr>
          <w:rFonts w:cs="Times New Roman"/>
          <w:i/>
        </w:rPr>
        <w:t>G</w:t>
      </w:r>
      <w:r>
        <w:rPr>
          <w:rFonts w:hint="eastAsia"/>
          <w:vertAlign w:val="subscript"/>
        </w:rPr>
        <w:t>c</w:t>
      </w:r>
      <w:r>
        <w:t>——</w:t>
      </w:r>
      <w:r>
        <w:rPr>
          <w:rFonts w:hint="eastAsia"/>
        </w:rPr>
        <w:t>混凝土的剪变模量；</w:t>
      </w:r>
    </w:p>
    <w:p>
      <w:pPr>
        <w:ind w:firstLine="420"/>
      </w:pPr>
      <w:r>
        <w:rPr>
          <w:rFonts w:cs="Times New Roman"/>
          <w:i/>
        </w:rPr>
        <w:sym w:font="Symbol" w:char="F062"/>
      </w:r>
      <w:r>
        <w:rPr>
          <w:rFonts w:hint="eastAsia" w:cs="Times New Roman"/>
          <w:vertAlign w:val="subscript"/>
        </w:rPr>
        <w:t>c</w:t>
      </w:r>
      <w:r>
        <w:t>——</w:t>
      </w:r>
      <w:r>
        <w:rPr>
          <w:rFonts w:hint="eastAsia"/>
        </w:rPr>
        <w:t>混凝土强度影响</w:t>
      </w:r>
      <w:r>
        <w:rPr>
          <w:rFonts w:hint="eastAsia" w:cs="Times New Roman"/>
        </w:rPr>
        <w:t>系数；</w:t>
      </w:r>
    </w:p>
    <w:p>
      <w:pPr>
        <w:ind w:firstLine="420"/>
        <w:rPr>
          <w:rFonts w:cs="Times New Roman"/>
        </w:rPr>
      </w:pPr>
      <w:r>
        <w:rPr>
          <w:rFonts w:cs="Times New Roman"/>
          <w:i/>
        </w:rPr>
        <w:t>γ</w:t>
      </w:r>
      <w:r>
        <w:rPr>
          <w:rFonts w:cs="Times New Roman"/>
          <w:vertAlign w:val="subscript"/>
        </w:rPr>
        <w:t>RE</w:t>
      </w:r>
      <w:r>
        <w:t>——</w:t>
      </w:r>
      <w:r>
        <w:rPr>
          <w:rFonts w:hint="eastAsia" w:cs="Times New Roman"/>
        </w:rPr>
        <w:t>承载力抗震调整系数；</w:t>
      </w:r>
    </w:p>
    <w:p>
      <w:pPr>
        <w:ind w:firstLine="420"/>
        <w:rPr>
          <w:rFonts w:cs="Times New Roman"/>
        </w:rPr>
      </w:pPr>
      <w:r>
        <w:rPr>
          <w:rFonts w:cs="Times New Roman"/>
          <w:i/>
        </w:rPr>
        <w:t>η</w:t>
      </w:r>
      <w:r>
        <w:rPr>
          <w:rFonts w:hint="eastAsia"/>
          <w:vertAlign w:val="subscript"/>
        </w:rPr>
        <w:t>jb</w:t>
      </w:r>
      <w:r>
        <w:t>——</w:t>
      </w:r>
      <w:r>
        <w:rPr>
          <w:rFonts w:hint="eastAsia"/>
        </w:rPr>
        <w:t>节点剪力增大系数；</w:t>
      </w:r>
    </w:p>
    <w:p>
      <w:pPr>
        <w:ind w:firstLine="420"/>
        <w:rPr>
          <w:rFonts w:cs="Times New Roman"/>
        </w:rPr>
      </w:pPr>
      <w:r>
        <w:rPr>
          <w:rFonts w:cs="Times New Roman"/>
          <w:i/>
        </w:rPr>
        <w:t>η</w:t>
      </w:r>
      <w:r>
        <w:rPr>
          <w:rFonts w:hint="eastAsia"/>
          <w:vertAlign w:val="subscript"/>
        </w:rPr>
        <w:t>j</w:t>
      </w:r>
      <w:r>
        <w:t>——</w:t>
      </w:r>
      <w:r>
        <w:rPr>
          <w:rFonts w:hint="eastAsia"/>
        </w:rPr>
        <w:t>正交梁对节点的约束影响系数；</w:t>
      </w:r>
    </w:p>
    <w:p>
      <w:pPr>
        <w:ind w:firstLine="420"/>
      </w:pPr>
      <w:r>
        <w:rPr>
          <w:rFonts w:cs="Times New Roman"/>
          <w:i/>
        </w:rPr>
        <w:t>λ</w:t>
      </w:r>
      <w:r>
        <w:t>——</w:t>
      </w:r>
      <w:r>
        <w:rPr>
          <w:rFonts w:hint="eastAsia"/>
        </w:rPr>
        <w:t>剪跨比；</w:t>
      </w:r>
    </w:p>
    <w:p>
      <w:pPr>
        <w:ind w:firstLine="420"/>
      </w:pPr>
      <w:r>
        <w:rPr>
          <w:rFonts w:cs="Times New Roman"/>
          <w:i/>
        </w:rPr>
        <w:t>ξ</w:t>
      </w:r>
      <w:r>
        <w:t>——</w:t>
      </w:r>
      <w:r>
        <w:rPr>
          <w:rFonts w:hint="eastAsia"/>
        </w:rPr>
        <w:t>混凝土抗压强度软化系数；</w:t>
      </w:r>
    </w:p>
    <w:p>
      <w:pPr>
        <w:ind w:firstLine="409" w:firstLineChars="195"/>
      </w:pPr>
      <w:r>
        <w:rPr>
          <w:rFonts w:cs="Times New Roman"/>
          <w:i/>
        </w:rPr>
        <w:t>γ</w:t>
      </w:r>
      <w:r>
        <w:rPr>
          <w:rFonts w:cs="Times New Roman"/>
          <w:vertAlign w:val="subscript"/>
        </w:rPr>
        <w:t>y</w:t>
      </w:r>
      <w:r>
        <w:t>——</w:t>
      </w:r>
      <w:r>
        <w:rPr>
          <w:rFonts w:hint="eastAsia"/>
        </w:rPr>
        <w:t>截面塑性发展系数；</w:t>
      </w:r>
    </w:p>
    <w:p>
      <w:pPr>
        <w:ind w:firstLine="420"/>
      </w:pPr>
      <w:r>
        <w:rPr>
          <w:rFonts w:cs="Times New Roman"/>
          <w:i/>
        </w:rPr>
        <w:t>φ</w:t>
      </w:r>
      <w:r>
        <w:rPr>
          <w:rFonts w:hint="eastAsia" w:cs="Times New Roman"/>
          <w:vertAlign w:val="subscript"/>
        </w:rPr>
        <w:t>y</w:t>
      </w:r>
      <w:r>
        <w:rPr>
          <w:rFonts w:hint="eastAsia"/>
        </w:rPr>
        <w:t>——弯矩作用平面内轴心受压构件稳定系数；</w:t>
      </w:r>
    </w:p>
    <w:p>
      <w:pPr>
        <w:ind w:firstLine="420"/>
      </w:pPr>
      <w:r>
        <w:rPr>
          <w:rFonts w:cs="Times New Roman"/>
          <w:i/>
        </w:rPr>
        <w:t>λ</w:t>
      </w:r>
      <w:r>
        <w:rPr>
          <w:rFonts w:cs="Times New Roman"/>
          <w:vertAlign w:val="subscript"/>
        </w:rPr>
        <w:t>y</w:t>
      </w:r>
      <w:r>
        <w:rPr>
          <w:rFonts w:hint="eastAsia"/>
        </w:rPr>
        <w:t>——弯矩作用平面内角钢的长细比；</w:t>
      </w:r>
    </w:p>
    <w:p>
      <w:pPr>
        <w:ind w:firstLine="420"/>
      </w:pPr>
      <w:r>
        <w:rPr>
          <w:rFonts w:cs="Times New Roman"/>
          <w:i/>
        </w:rPr>
        <w:t>β</w:t>
      </w:r>
      <w:r>
        <w:rPr>
          <w:rFonts w:hint="eastAsia" w:cs="Times New Roman"/>
          <w:iCs/>
          <w:vertAlign w:val="subscript"/>
        </w:rPr>
        <w:t>m</w:t>
      </w:r>
      <w:r>
        <w:rPr>
          <w:rFonts w:cs="Times New Roman"/>
          <w:iCs/>
          <w:vertAlign w:val="subscript"/>
        </w:rPr>
        <w:t>y</w:t>
      </w:r>
      <w:r>
        <w:rPr>
          <w:rFonts w:hint="eastAsia"/>
        </w:rPr>
        <w:t>——等效弯矩系数；</w:t>
      </w:r>
    </w:p>
    <w:p>
      <w:pPr>
        <w:pStyle w:val="3"/>
        <w:spacing w:before="120" w:after="120"/>
      </w:pPr>
      <w:bookmarkStart w:id="42" w:name="_Toc186641453"/>
      <w:r>
        <w:rPr>
          <w:rFonts w:hint="eastAsia"/>
        </w:rPr>
        <w:t>几何参数</w:t>
      </w:r>
      <w:bookmarkEnd w:id="42"/>
    </w:p>
    <w:p>
      <w:pPr>
        <w:ind w:firstLine="420"/>
      </w:pPr>
      <w:r>
        <w:rPr>
          <w:rFonts w:cs="Times New Roman"/>
          <w:i/>
        </w:rPr>
        <w:t>A</w:t>
      </w:r>
      <w:r>
        <w:t>——</w:t>
      </w:r>
      <w:r>
        <w:rPr>
          <w:rFonts w:hint="eastAsia"/>
        </w:rPr>
        <w:t>毛截面面积；</w:t>
      </w:r>
    </w:p>
    <w:p>
      <w:pPr>
        <w:ind w:firstLine="420"/>
      </w:pPr>
      <w:r>
        <w:rPr>
          <w:rFonts w:cs="Times New Roman"/>
          <w:i/>
        </w:rPr>
        <w:t>A</w:t>
      </w:r>
      <w:r>
        <w:rPr>
          <w:rFonts w:hint="eastAsia" w:cs="Times New Roman"/>
          <w:vertAlign w:val="subscript"/>
        </w:rPr>
        <w:t>c</w:t>
      </w:r>
      <w:r>
        <w:t>——</w:t>
      </w:r>
      <w:r>
        <w:rPr>
          <w:rFonts w:hint="eastAsia"/>
        </w:rPr>
        <w:t>混凝土部分截面面积；</w:t>
      </w:r>
    </w:p>
    <w:p>
      <w:pPr>
        <w:ind w:firstLine="420"/>
      </w:pPr>
      <w:r>
        <w:rPr>
          <w:rFonts w:cs="Times New Roman"/>
          <w:i/>
        </w:rPr>
        <w:t>A</w:t>
      </w:r>
      <w:r>
        <w:rPr>
          <w:rFonts w:hint="eastAsia" w:cs="Times New Roman"/>
          <w:vertAlign w:val="subscript"/>
        </w:rPr>
        <w:t>s</w:t>
      </w:r>
      <w:r>
        <w:t>——</w:t>
      </w:r>
      <w:r>
        <w:rPr>
          <w:rFonts w:hint="eastAsia"/>
        </w:rPr>
        <w:t>型钢部分截面面积；</w:t>
      </w:r>
    </w:p>
    <w:p>
      <w:pPr>
        <w:ind w:firstLine="420"/>
        <w:rPr>
          <w:rFonts w:cs="Times New Roman"/>
          <w:szCs w:val="21"/>
        </w:rPr>
      </w:pPr>
      <w:r>
        <w:rPr>
          <w:rFonts w:cs="Times New Roman"/>
          <w:i/>
          <w:szCs w:val="21"/>
        </w:rPr>
        <w:t>A</w:t>
      </w:r>
      <w:r>
        <w:rPr>
          <w:rFonts w:cs="Times New Roman"/>
          <w:szCs w:val="21"/>
          <w:vertAlign w:val="subscript"/>
        </w:rPr>
        <w:t>n</w:t>
      </w:r>
      <w:r>
        <w:rPr>
          <w:rFonts w:hint="eastAsia"/>
        </w:rPr>
        <w:t>——</w:t>
      </w:r>
      <w:r>
        <w:rPr>
          <w:rFonts w:cs="Times New Roman"/>
          <w:szCs w:val="21"/>
        </w:rPr>
        <w:t>外包钢管受剪腹板的净截面面积</w:t>
      </w:r>
      <w:r>
        <w:rPr>
          <w:rFonts w:hint="eastAsia" w:cs="Times New Roman"/>
          <w:szCs w:val="21"/>
        </w:rPr>
        <w:t>；</w:t>
      </w:r>
    </w:p>
    <w:p>
      <w:pPr>
        <w:ind w:firstLine="409" w:firstLineChars="195"/>
        <w:rPr>
          <w:rFonts w:ascii="宋体" w:hAnsi="宋体"/>
          <w:szCs w:val="21"/>
        </w:rPr>
      </w:pPr>
      <w:r>
        <w:rPr>
          <w:rFonts w:cs="Times New Roman"/>
          <w:i/>
          <w:szCs w:val="21"/>
        </w:rPr>
        <w:t>b</w:t>
      </w:r>
      <w:r>
        <w:rPr>
          <w:rFonts w:hint="eastAsia"/>
        </w:rPr>
        <w:t>——节点核心区混凝土</w:t>
      </w:r>
      <w:r>
        <w:rPr>
          <w:rFonts w:hint="eastAsia" w:ascii="宋体" w:hAnsi="宋体"/>
          <w:szCs w:val="21"/>
        </w:rPr>
        <w:t>矩形截面的宽度；</w:t>
      </w:r>
    </w:p>
    <w:p>
      <w:pPr>
        <w:ind w:firstLine="409" w:firstLineChars="195"/>
        <w:rPr>
          <w:rFonts w:ascii="宋体" w:hAnsi="宋体"/>
          <w:szCs w:val="21"/>
        </w:rPr>
      </w:pPr>
      <w:r>
        <w:rPr>
          <w:rFonts w:cs="Times New Roman"/>
          <w:i/>
          <w:szCs w:val="21"/>
        </w:rPr>
        <w:t>h</w:t>
      </w:r>
      <w:r>
        <w:rPr>
          <w:rFonts w:hint="eastAsia"/>
        </w:rPr>
        <w:t>——节点核心区混凝土</w:t>
      </w:r>
      <w:r>
        <w:rPr>
          <w:rFonts w:hint="eastAsia" w:ascii="宋体" w:hAnsi="宋体"/>
          <w:szCs w:val="21"/>
        </w:rPr>
        <w:t>矩形截面的有效高度；</w:t>
      </w:r>
    </w:p>
    <w:p>
      <w:pPr>
        <w:ind w:firstLine="420"/>
        <w:rPr>
          <w:rFonts w:ascii="宋体" w:hAnsi="宋体" w:cs="宋体"/>
          <w:color w:val="000000"/>
          <w:kern w:val="0"/>
          <w:szCs w:val="21"/>
          <w:lang w:bidi="ar"/>
        </w:rPr>
      </w:pPr>
      <w:r>
        <w:rPr>
          <w:rFonts w:cs="Times New Roman"/>
          <w:i/>
          <w:color w:val="000000"/>
          <w:kern w:val="0"/>
          <w:szCs w:val="21"/>
          <w:lang w:bidi="ar"/>
        </w:rPr>
        <w:t>b</w:t>
      </w:r>
      <w:r>
        <w:rPr>
          <w:rFonts w:hint="eastAsia" w:cs="Times New Roman"/>
          <w:iCs/>
          <w:color w:val="000000"/>
          <w:kern w:val="0"/>
          <w:szCs w:val="21"/>
          <w:vertAlign w:val="subscript"/>
          <w:lang w:bidi="ar"/>
        </w:rPr>
        <w:t>c</w:t>
      </w:r>
      <w:r>
        <w:t>——</w:t>
      </w:r>
      <w:r>
        <w:rPr>
          <w:rFonts w:hint="eastAsia" w:ascii="宋体" w:hAnsi="宋体" w:cs="宋体"/>
          <w:color w:val="000000"/>
          <w:kern w:val="0"/>
          <w:szCs w:val="21"/>
          <w:lang w:bidi="ar"/>
        </w:rPr>
        <w:t>矩形钢管管壁宽度；</w:t>
      </w:r>
    </w:p>
    <w:p>
      <w:pPr>
        <w:ind w:firstLine="420"/>
        <w:rPr>
          <w:rFonts w:ascii="宋体" w:hAnsi="宋体" w:cs="宋体"/>
          <w:color w:val="000000"/>
          <w:kern w:val="0"/>
          <w:szCs w:val="21"/>
          <w:lang w:bidi="ar"/>
        </w:rPr>
      </w:pPr>
      <w:r>
        <w:rPr>
          <w:rFonts w:cs="Times New Roman"/>
          <w:i/>
          <w:color w:val="000000"/>
          <w:kern w:val="0"/>
          <w:szCs w:val="21"/>
          <w:lang w:bidi="ar"/>
        </w:rPr>
        <w:t>h</w:t>
      </w:r>
      <w:r>
        <w:rPr>
          <w:rFonts w:hint="eastAsia" w:cs="Times New Roman"/>
          <w:iCs/>
          <w:color w:val="000000"/>
          <w:kern w:val="0"/>
          <w:szCs w:val="21"/>
          <w:vertAlign w:val="subscript"/>
          <w:lang w:bidi="ar"/>
        </w:rPr>
        <w:t>c</w:t>
      </w:r>
      <w:r>
        <w:t>——</w:t>
      </w:r>
      <w:r>
        <w:rPr>
          <w:rFonts w:hint="eastAsia" w:ascii="宋体" w:hAnsi="宋体" w:cs="宋体"/>
          <w:color w:val="000000"/>
          <w:kern w:val="0"/>
          <w:szCs w:val="21"/>
          <w:lang w:bidi="ar"/>
        </w:rPr>
        <w:t>矩形钢管截面高度；</w:t>
      </w:r>
    </w:p>
    <w:p>
      <w:pPr>
        <w:ind w:firstLine="420"/>
      </w:pPr>
      <w:r>
        <w:rPr>
          <w:rFonts w:hint="eastAsia"/>
          <w:i/>
        </w:rPr>
        <w:t>b</w:t>
      </w:r>
      <w:r>
        <w:rPr>
          <w:rFonts w:hint="eastAsia"/>
          <w:iCs/>
          <w:vertAlign w:val="subscript"/>
        </w:rPr>
        <w:t>0</w:t>
      </w:r>
      <w:r>
        <w:rPr>
          <w:rFonts w:hint="eastAsia"/>
          <w:i/>
        </w:rPr>
        <w:t>——</w:t>
      </w:r>
      <w:r>
        <w:rPr>
          <w:rFonts w:hint="eastAsia"/>
          <w:iCs/>
        </w:rPr>
        <w:t>钢管</w:t>
      </w:r>
      <w:r>
        <w:rPr>
          <w:rFonts w:hint="eastAsia"/>
        </w:rPr>
        <w:t>开孔区域孔口宽；</w:t>
      </w:r>
    </w:p>
    <w:p>
      <w:pPr>
        <w:ind w:firstLine="420"/>
      </w:pPr>
      <w:r>
        <w:rPr>
          <w:rFonts w:hint="eastAsia"/>
          <w:i/>
        </w:rPr>
        <w:t>h</w:t>
      </w:r>
      <w:r>
        <w:rPr>
          <w:rFonts w:hint="eastAsia"/>
          <w:iCs/>
          <w:vertAlign w:val="subscript"/>
        </w:rPr>
        <w:t>0</w:t>
      </w:r>
      <w:r>
        <w:rPr>
          <w:rFonts w:hint="eastAsia"/>
          <w:i/>
        </w:rPr>
        <w:t>——</w:t>
      </w:r>
      <w:r>
        <w:rPr>
          <w:rFonts w:hint="eastAsia"/>
          <w:iCs/>
        </w:rPr>
        <w:t>钢管单侧开两个小孔时孔</w:t>
      </w:r>
      <w:r>
        <w:rPr>
          <w:rFonts w:hint="eastAsia"/>
        </w:rPr>
        <w:t>口高；</w:t>
      </w:r>
    </w:p>
    <w:p>
      <w:pPr>
        <w:ind w:firstLine="420"/>
        <w:rPr>
          <w:iCs/>
        </w:rPr>
      </w:pPr>
      <w:r>
        <w:rPr>
          <w:rFonts w:hint="eastAsia"/>
          <w:iCs/>
        </w:rPr>
        <w:t>ht——钢管单侧开一个大孔时孔口高；</w:t>
      </w:r>
    </w:p>
    <w:p>
      <w:pPr>
        <w:ind w:firstLine="420"/>
        <w:rPr>
          <w:iCs/>
        </w:rPr>
      </w:pPr>
      <w:r>
        <w:rPr>
          <w:rFonts w:hint="eastAsia"/>
          <w:iCs/>
        </w:rPr>
        <w:t>h1——开设多个孔口时孔口之间的净距。</w:t>
      </w:r>
    </w:p>
    <w:p>
      <w:pPr>
        <w:ind w:firstLine="420"/>
      </w:pPr>
      <w:r>
        <w:rPr>
          <w:rFonts w:hint="eastAsia"/>
          <w:i/>
        </w:rPr>
        <w:t>b</w:t>
      </w:r>
      <w:r>
        <w:rPr>
          <w:vertAlign w:val="subscript"/>
        </w:rPr>
        <w:t>j</w:t>
      </w:r>
      <w:r>
        <w:rPr>
          <w:rFonts w:hint="eastAsia"/>
          <w:vertAlign w:val="subscript"/>
        </w:rPr>
        <w:t>c</w:t>
      </w:r>
      <w:r>
        <w:rPr>
          <w:rFonts w:hint="eastAsia"/>
        </w:rPr>
        <w:t>——混合框架节点核心区混凝土部分的截面有效验算宽度；</w:t>
      </w:r>
    </w:p>
    <w:p>
      <w:pPr>
        <w:ind w:firstLine="420"/>
      </w:pPr>
      <w:r>
        <w:rPr>
          <w:i/>
        </w:rPr>
        <w:t>h</w:t>
      </w:r>
      <w:r>
        <w:rPr>
          <w:vertAlign w:val="subscript"/>
        </w:rPr>
        <w:t>j</w:t>
      </w:r>
      <w:r>
        <w:rPr>
          <w:rFonts w:hint="eastAsia"/>
          <w:vertAlign w:val="subscript"/>
        </w:rPr>
        <w:t>c</w:t>
      </w:r>
      <w:r>
        <w:rPr>
          <w:rFonts w:hint="eastAsia"/>
        </w:rPr>
        <w:t>——混合框架节点核心区混凝土部分的截面高度；</w:t>
      </w:r>
    </w:p>
    <w:p>
      <w:pPr>
        <w:ind w:firstLine="409" w:firstLineChars="195"/>
        <w:rPr>
          <w:rFonts w:ascii="宋体" w:hAnsi="宋体"/>
          <w:szCs w:val="21"/>
        </w:rPr>
      </w:pPr>
      <w:r>
        <w:rPr>
          <w:rFonts w:cs="Times New Roman"/>
          <w:i/>
          <w:color w:val="000000"/>
          <w:kern w:val="0"/>
          <w:szCs w:val="21"/>
          <w:lang w:bidi="ar"/>
        </w:rPr>
        <w:t>b</w:t>
      </w:r>
      <w:r>
        <w:rPr>
          <w:rFonts w:hint="eastAsia" w:cs="Times New Roman"/>
          <w:iCs/>
          <w:color w:val="000000"/>
          <w:kern w:val="0"/>
          <w:szCs w:val="21"/>
          <w:vertAlign w:val="subscript"/>
          <w:lang w:bidi="ar"/>
        </w:rPr>
        <w:t>b</w:t>
      </w:r>
      <w:r>
        <w:t>——</w:t>
      </w:r>
      <w:r>
        <w:rPr>
          <w:rFonts w:hint="eastAsia" w:cs="Times New Roman"/>
        </w:rPr>
        <w:t>梁截面宽度；</w:t>
      </w:r>
    </w:p>
    <w:p>
      <w:pPr>
        <w:ind w:firstLine="420"/>
        <w:rPr>
          <w:rFonts w:cs="Times New Roman"/>
        </w:rPr>
      </w:pPr>
      <w:r>
        <w:rPr>
          <w:rFonts w:hint="eastAsia" w:cs="Times New Roman"/>
          <w:i/>
        </w:rPr>
        <w:t>h</w:t>
      </w:r>
      <w:r>
        <w:rPr>
          <w:rFonts w:cs="Times New Roman"/>
          <w:vertAlign w:val="subscript"/>
        </w:rPr>
        <w:t>b</w:t>
      </w:r>
      <w:r>
        <w:rPr>
          <w:rFonts w:hint="eastAsia" w:cs="Times New Roman"/>
        </w:rPr>
        <w:t>——梁截面高度；</w:t>
      </w:r>
    </w:p>
    <w:p>
      <w:pPr>
        <w:ind w:firstLine="420"/>
        <w:rPr>
          <w:rFonts w:ascii="宋体" w:hAnsi="宋体" w:cs="宋体"/>
          <w:color w:val="000000"/>
          <w:kern w:val="0"/>
          <w:szCs w:val="21"/>
          <w:lang w:bidi="ar"/>
        </w:rPr>
      </w:pPr>
      <w:r>
        <w:rPr>
          <w:rFonts w:hint="eastAsia" w:cs="Times New Roman"/>
          <w:i/>
        </w:rPr>
        <w:t>h</w:t>
      </w:r>
      <w:r>
        <w:rPr>
          <w:rFonts w:cs="Times New Roman"/>
          <w:vertAlign w:val="subscript"/>
        </w:rPr>
        <w:t>b</w:t>
      </w:r>
      <w:r>
        <w:rPr>
          <w:rFonts w:hint="eastAsia" w:cs="Times New Roman"/>
          <w:vertAlign w:val="subscript"/>
        </w:rPr>
        <w:t>0</w:t>
      </w:r>
      <w:r>
        <w:rPr>
          <w:rFonts w:hint="eastAsia" w:cs="Times New Roman"/>
        </w:rPr>
        <w:t>——梁截面有效高度；</w:t>
      </w:r>
    </w:p>
    <w:p>
      <w:pPr>
        <w:ind w:firstLine="420"/>
      </w:pPr>
      <w:r>
        <w:rPr>
          <w:rFonts w:hint="eastAsia" w:cs="Times New Roman"/>
          <w:i/>
        </w:rPr>
        <w:t>H</w:t>
      </w:r>
      <w:r>
        <w:rPr>
          <w:rFonts w:cs="Times New Roman"/>
          <w:vertAlign w:val="subscript"/>
        </w:rPr>
        <w:t>c</w:t>
      </w:r>
      <w:r>
        <w:t>——</w:t>
      </w:r>
      <w:r>
        <w:rPr>
          <w:rFonts w:hint="eastAsia" w:cs="Times New Roman"/>
        </w:rPr>
        <w:t>节点上柱和下柱反弯点之间的距离；</w:t>
      </w:r>
    </w:p>
    <w:p>
      <w:pPr>
        <w:ind w:firstLine="420"/>
      </w:pPr>
      <w:r>
        <w:rPr>
          <w:rFonts w:hint="eastAsia" w:cs="Times New Roman"/>
          <w:i/>
        </w:rPr>
        <w:t>I</w:t>
      </w:r>
      <w:r>
        <w:t>——</w:t>
      </w:r>
      <w:r>
        <w:rPr>
          <w:rFonts w:hint="eastAsia"/>
        </w:rPr>
        <w:t>毛截面惯性矩；</w:t>
      </w:r>
    </w:p>
    <w:p>
      <w:pPr>
        <w:ind w:firstLine="420"/>
      </w:pPr>
      <w:r>
        <w:rPr>
          <w:rFonts w:hint="eastAsia"/>
          <w:i/>
          <w:iCs/>
        </w:rPr>
        <w:t>W</w:t>
      </w:r>
      <w:r>
        <w:rPr>
          <w:rFonts w:hint="eastAsia"/>
        </w:rPr>
        <w:t>——截面模量；</w:t>
      </w:r>
    </w:p>
    <w:p>
      <w:pPr>
        <w:ind w:firstLine="420"/>
      </w:pPr>
      <w:r>
        <w:rPr>
          <w:rFonts w:hint="eastAsia" w:cs="Times New Roman"/>
          <w:i/>
        </w:rPr>
        <w:t>I</w:t>
      </w:r>
      <w:r>
        <w:rPr>
          <w:rFonts w:hint="eastAsia" w:cs="Times New Roman"/>
          <w:vertAlign w:val="subscript"/>
        </w:rPr>
        <w:t>c</w:t>
      </w:r>
      <w:r>
        <w:t>——</w:t>
      </w:r>
      <w:r>
        <w:rPr>
          <w:rFonts w:hint="eastAsia"/>
        </w:rPr>
        <w:t>混凝土部分截面惯性矩；</w:t>
      </w:r>
    </w:p>
    <w:p>
      <w:pPr>
        <w:ind w:firstLine="420"/>
      </w:pPr>
      <w:r>
        <w:rPr>
          <w:rFonts w:hint="eastAsia" w:cs="Times New Roman"/>
          <w:i/>
        </w:rPr>
        <w:t>I</w:t>
      </w:r>
      <w:r>
        <w:rPr>
          <w:rFonts w:hint="eastAsia" w:cs="Times New Roman"/>
          <w:vertAlign w:val="subscript"/>
        </w:rPr>
        <w:t>s</w:t>
      </w:r>
      <w:r>
        <w:t>——</w:t>
      </w:r>
      <w:r>
        <w:rPr>
          <w:rFonts w:hint="eastAsia"/>
        </w:rPr>
        <w:t>型钢部分截面惯性矩；</w:t>
      </w:r>
    </w:p>
    <w:p>
      <w:pPr>
        <w:ind w:firstLine="420"/>
        <w:rPr>
          <w:rFonts w:ascii="宋体" w:hAnsi="宋体" w:cs="宋体"/>
          <w:color w:val="000000"/>
          <w:kern w:val="0"/>
          <w:szCs w:val="21"/>
          <w:lang w:bidi="ar"/>
        </w:rPr>
      </w:pPr>
      <w:r>
        <w:rPr>
          <w:rFonts w:cs="Times New Roman"/>
          <w:i/>
          <w:color w:val="000000"/>
          <w:kern w:val="0"/>
          <w:szCs w:val="21"/>
          <w:lang w:bidi="ar"/>
        </w:rPr>
        <w:t>t</w:t>
      </w:r>
      <w:r>
        <w:t>——</w:t>
      </w:r>
      <w:r>
        <w:rPr>
          <w:rFonts w:hint="eastAsia" w:ascii="宋体" w:hAnsi="宋体" w:cs="宋体"/>
          <w:color w:val="000000"/>
          <w:kern w:val="0"/>
          <w:szCs w:val="21"/>
          <w:lang w:bidi="ar"/>
        </w:rPr>
        <w:t>钢管管壁厚度；</w:t>
      </w:r>
    </w:p>
    <w:p>
      <w:pPr>
        <w:ind w:firstLine="420"/>
        <w:rPr>
          <w:rFonts w:ascii="宋体" w:hAnsi="宋体" w:cs="宋体"/>
          <w:color w:val="000000"/>
          <w:kern w:val="0"/>
          <w:szCs w:val="21"/>
          <w:lang w:bidi="ar"/>
        </w:rPr>
      </w:pPr>
      <w:r>
        <w:rPr>
          <w:rFonts w:cs="Times New Roman"/>
          <w:i/>
          <w:color w:val="000000"/>
          <w:kern w:val="0"/>
          <w:szCs w:val="21"/>
          <w:lang w:bidi="ar"/>
        </w:rPr>
        <w:t>t</w:t>
      </w:r>
      <w:r>
        <w:rPr>
          <w:rFonts w:hint="eastAsia" w:cs="Times New Roman"/>
          <w:iCs/>
          <w:color w:val="000000"/>
          <w:kern w:val="0"/>
          <w:szCs w:val="21"/>
          <w:vertAlign w:val="subscript"/>
          <w:lang w:bidi="ar"/>
        </w:rPr>
        <w:t>j</w:t>
      </w:r>
      <w:r>
        <w:t>——</w:t>
      </w:r>
      <w:r>
        <w:rPr>
          <w:rFonts w:hint="eastAsia" w:ascii="宋体" w:hAnsi="宋体" w:cs="宋体"/>
          <w:color w:val="000000"/>
          <w:kern w:val="0"/>
          <w:szCs w:val="21"/>
          <w:lang w:bidi="ar"/>
        </w:rPr>
        <w:t>开洞区域钢管管壁厚度；</w:t>
      </w:r>
    </w:p>
    <w:p>
      <w:pPr>
        <w:ind w:firstLine="420"/>
      </w:pPr>
      <w:r>
        <w:rPr>
          <w:rFonts w:cs="Times New Roman"/>
          <w:i/>
        </w:rPr>
        <w:t>a</w:t>
      </w:r>
      <w:r>
        <w:rPr>
          <w:rFonts w:hint="eastAsia" w:cs="Times New Roman"/>
          <w:vertAlign w:val="subscript"/>
        </w:rPr>
        <w:t>s</w:t>
      </w:r>
      <w:r>
        <w:rPr>
          <w:rFonts w:hint="eastAsia" w:cs="Times New Roman"/>
        </w:rPr>
        <w:t>'</w:t>
      </w:r>
      <w:r>
        <w:t>——</w:t>
      </w:r>
      <w:r>
        <w:rPr>
          <w:rFonts w:hint="eastAsia" w:cs="Times New Roman"/>
        </w:rPr>
        <w:t>梁纵向受压钢筋合力点至受压边缘的距离；</w:t>
      </w:r>
    </w:p>
    <w:p>
      <w:pPr>
        <w:pStyle w:val="2"/>
        <w:keepNext w:val="0"/>
        <w:keepLines w:val="0"/>
        <w:spacing w:before="240" w:after="240"/>
      </w:pPr>
      <w:bookmarkStart w:id="43" w:name="_Toc186641454"/>
      <w:bookmarkStart w:id="44" w:name="_Toc20371"/>
      <w:bookmarkStart w:id="45" w:name="_Toc24130"/>
      <w:bookmarkStart w:id="46" w:name="_Toc185448939"/>
      <w:bookmarkStart w:id="47" w:name="_Toc185448849"/>
      <w:r>
        <w:t>基本规定</w:t>
      </w:r>
      <w:bookmarkEnd w:id="43"/>
      <w:bookmarkEnd w:id="44"/>
      <w:bookmarkEnd w:id="45"/>
      <w:bookmarkEnd w:id="46"/>
      <w:bookmarkEnd w:id="47"/>
      <w:r>
        <w:rPr>
          <w:rFonts w:hint="eastAsia"/>
        </w:rPr>
        <w:t xml:space="preserve"> </w:t>
      </w:r>
    </w:p>
    <w:p>
      <w:pPr>
        <w:pStyle w:val="3"/>
        <w:spacing w:before="120" w:after="120"/>
        <w:rPr>
          <w:rFonts w:ascii="宋体" w:hAnsi="宋体" w:eastAsia="宋体"/>
        </w:rPr>
      </w:pPr>
      <w:bookmarkStart w:id="48" w:name="_Toc186641455"/>
      <w:r>
        <w:rPr>
          <w:rFonts w:ascii="宋体" w:hAnsi="宋体" w:eastAsia="宋体"/>
        </w:rPr>
        <w:t>装配式混合框架</w:t>
      </w:r>
      <w:r>
        <w:rPr>
          <w:rFonts w:hint="eastAsia" w:ascii="宋体" w:hAnsi="宋体" w:eastAsia="宋体"/>
        </w:rPr>
        <w:t>结构的设计应根据工程性质、上部结构的类型、使用功能、经济性及施工便利性等因素综合考虑，选择合理的结构类型。</w:t>
      </w:r>
      <w:bookmarkEnd w:id="48"/>
    </w:p>
    <w:p>
      <w:pPr>
        <w:pStyle w:val="3"/>
        <w:spacing w:before="120" w:after="120"/>
        <w:rPr>
          <w:lang w:val="zh-CN"/>
        </w:rPr>
      </w:pPr>
      <w:bookmarkStart w:id="49" w:name="_Toc186641456"/>
      <w:r>
        <w:rPr>
          <w:rFonts w:hint="eastAsia" w:ascii="宋体" w:hAnsi="宋体" w:eastAsia="宋体"/>
        </w:rPr>
        <w:t>采用装配式混合框架</w:t>
      </w:r>
      <w:r>
        <w:rPr>
          <w:rFonts w:ascii="宋体" w:hAnsi="宋体" w:eastAsia="宋体"/>
        </w:rPr>
        <w:t>结构</w:t>
      </w:r>
      <w:r>
        <w:rPr>
          <w:rFonts w:hint="eastAsia" w:ascii="宋体" w:hAnsi="宋体" w:eastAsia="宋体"/>
        </w:rPr>
        <w:t>的多层及高层建筑的平面和竖向布置及规则性要求，应符合现行国家标准GB/T 50011、JGJ 3的有关规定，对特别不规则的建筑应进行专门研究和论证，采取特别的加强措施；严重不规则的建筑不应采用。</w:t>
      </w:r>
      <w:bookmarkEnd w:id="49"/>
    </w:p>
    <w:p>
      <w:pPr>
        <w:pStyle w:val="3"/>
        <w:spacing w:before="120" w:after="120"/>
        <w:rPr>
          <w:lang w:val="zh-CN"/>
        </w:rPr>
      </w:pPr>
      <w:bookmarkStart w:id="50" w:name="_Toc186641457"/>
      <w:r>
        <w:rPr>
          <w:rFonts w:hint="eastAsia" w:ascii="宋体" w:hAnsi="宋体" w:eastAsia="宋体"/>
        </w:rPr>
        <w:t>装配式混合框架结构抗震设计，应符合下列规定：</w:t>
      </w:r>
      <w:bookmarkEnd w:id="50"/>
    </w:p>
    <w:p>
      <w:pPr>
        <w:numPr>
          <w:ilvl w:val="0"/>
          <w:numId w:val="9"/>
        </w:numPr>
        <w:ind w:left="0" w:firstLine="420"/>
        <w:rPr>
          <w:lang w:val="zh-CN"/>
        </w:rPr>
      </w:pPr>
      <w:bookmarkStart w:id="51" w:name="_Toc19572"/>
      <w:r>
        <w:rPr>
          <w:rFonts w:hint="eastAsia"/>
          <w:lang w:val="zh-CN"/>
        </w:rPr>
        <w:t>有明确的计算简图和合理的地震作用传递途径。</w:t>
      </w:r>
      <w:bookmarkEnd w:id="51"/>
    </w:p>
    <w:p>
      <w:pPr>
        <w:numPr>
          <w:ilvl w:val="0"/>
          <w:numId w:val="9"/>
        </w:numPr>
        <w:ind w:left="0" w:firstLine="420"/>
        <w:rPr>
          <w:lang w:val="zh-CN"/>
        </w:rPr>
      </w:pPr>
      <w:r>
        <w:rPr>
          <w:rFonts w:hint="eastAsia"/>
          <w:lang w:val="zh-CN"/>
        </w:rPr>
        <w:t>有必要的承载能力，足够大的刚度，良好的变形能力和消耗地震能量的能力。</w:t>
      </w:r>
    </w:p>
    <w:p>
      <w:pPr>
        <w:numPr>
          <w:ilvl w:val="0"/>
          <w:numId w:val="9"/>
        </w:numPr>
        <w:ind w:left="0" w:firstLine="420"/>
        <w:rPr>
          <w:lang w:val="zh-CN"/>
        </w:rPr>
      </w:pPr>
      <w:r>
        <w:rPr>
          <w:rFonts w:hint="eastAsia"/>
          <w:lang w:val="zh-CN"/>
        </w:rPr>
        <w:t>避免因部分结构或构件的破坏而导致整个结构丧失承受重力荷载、风荷载和地震作用的能力。</w:t>
      </w:r>
    </w:p>
    <w:p>
      <w:pPr>
        <w:numPr>
          <w:ilvl w:val="0"/>
          <w:numId w:val="9"/>
        </w:numPr>
        <w:ind w:left="0" w:firstLine="420"/>
      </w:pPr>
      <w:bookmarkStart w:id="52" w:name="_Toc4057"/>
      <w:r>
        <w:rPr>
          <w:rFonts w:hint="eastAsia"/>
          <w:lang w:val="zh-CN"/>
        </w:rPr>
        <w:t>对可能出现的薄弱部位，采取有效的加强措施。</w:t>
      </w:r>
      <w:bookmarkEnd w:id="52"/>
    </w:p>
    <w:p>
      <w:pPr>
        <w:pStyle w:val="3"/>
        <w:spacing w:before="120" w:after="120"/>
        <w:rPr>
          <w:rFonts w:ascii="宋体" w:hAnsi="宋体" w:eastAsia="宋体"/>
        </w:rPr>
      </w:pPr>
      <w:bookmarkStart w:id="53" w:name="_Toc186641458"/>
      <w:r>
        <w:rPr>
          <w:rFonts w:ascii="宋体" w:hAnsi="宋体" w:eastAsia="宋体"/>
        </w:rPr>
        <w:t>在建筑方案设计阶段，</w:t>
      </w:r>
      <w:r>
        <w:rPr>
          <w:rFonts w:hint="eastAsia" w:ascii="宋体" w:hAnsi="宋体" w:eastAsia="宋体"/>
        </w:rPr>
        <w:t>宜</w:t>
      </w:r>
      <w:r>
        <w:rPr>
          <w:rFonts w:ascii="宋体" w:hAnsi="宋体" w:eastAsia="宋体"/>
        </w:rPr>
        <w:t>协调建设、设计、制作、施工各方之间的关系，并加强建筑、结构、设备、装修等专业之间的配合。</w:t>
      </w:r>
      <w:bookmarkEnd w:id="53"/>
    </w:p>
    <w:p>
      <w:pPr>
        <w:pStyle w:val="3"/>
        <w:spacing w:before="120" w:after="120"/>
        <w:rPr>
          <w:rFonts w:ascii="宋体" w:hAnsi="宋体" w:eastAsia="宋体"/>
        </w:rPr>
      </w:pPr>
      <w:bookmarkStart w:id="54" w:name="_Toc186641459"/>
      <w:r>
        <w:rPr>
          <w:rFonts w:hint="eastAsia" w:ascii="宋体" w:hAnsi="宋体" w:eastAsia="宋体"/>
        </w:rPr>
        <w:t>装配式混合框架结构的</w:t>
      </w:r>
      <w:r>
        <w:rPr>
          <w:rFonts w:ascii="宋体" w:hAnsi="宋体" w:eastAsia="宋体"/>
        </w:rPr>
        <w:t>钢结构预制构件应满足以下要求：</w:t>
      </w:r>
      <w:bookmarkEnd w:id="54"/>
    </w:p>
    <w:p>
      <w:pPr>
        <w:numPr>
          <w:ilvl w:val="0"/>
          <w:numId w:val="10"/>
        </w:numPr>
        <w:ind w:left="0" w:firstLine="420"/>
        <w:rPr>
          <w:rFonts w:ascii="宋体" w:hAnsi="宋体" w:cs="宋体"/>
        </w:rPr>
      </w:pPr>
      <w:r>
        <w:t>构</w:t>
      </w:r>
      <w:r>
        <w:rPr>
          <w:rFonts w:ascii="宋体" w:hAnsi="宋体" w:cs="宋体"/>
        </w:rPr>
        <w:t>件截面尺寸和形状</w:t>
      </w:r>
      <w:r>
        <w:rPr>
          <w:rFonts w:hint="eastAsia" w:ascii="宋体" w:hAnsi="宋体" w:cs="宋体"/>
        </w:rPr>
        <w:t>宜</w:t>
      </w:r>
      <w:r>
        <w:rPr>
          <w:rFonts w:ascii="宋体" w:hAnsi="宋体" w:cs="宋体"/>
        </w:rPr>
        <w:t>满足建筑使用功能、模数、标准化要求。</w:t>
      </w:r>
    </w:p>
    <w:p>
      <w:pPr>
        <w:numPr>
          <w:ilvl w:val="0"/>
          <w:numId w:val="10"/>
        </w:numPr>
        <w:ind w:left="0" w:firstLine="420"/>
        <w:rPr>
          <w:rFonts w:ascii="宋体" w:hAnsi="宋体" w:cs="宋体"/>
        </w:rPr>
      </w:pPr>
      <w:r>
        <w:rPr>
          <w:rFonts w:ascii="宋体" w:hAnsi="宋体" w:cs="宋体"/>
        </w:rPr>
        <w:t>根据构件的功能和安装部位、加工制作及施工精度等要求，确定合理的公差。</w:t>
      </w:r>
    </w:p>
    <w:p>
      <w:pPr>
        <w:numPr>
          <w:ilvl w:val="0"/>
          <w:numId w:val="10"/>
        </w:numPr>
        <w:ind w:left="0" w:firstLine="420"/>
        <w:rPr>
          <w:rFonts w:ascii="宋体" w:hAnsi="宋体" w:cs="宋体"/>
        </w:rPr>
      </w:pPr>
      <w:r>
        <w:rPr>
          <w:rFonts w:ascii="宋体" w:hAnsi="宋体" w:cs="宋体"/>
        </w:rPr>
        <w:t>满足制作、运输、堆放及安装的相关要求。</w:t>
      </w:r>
    </w:p>
    <w:p>
      <w:pPr>
        <w:pStyle w:val="3"/>
        <w:spacing w:before="120" w:after="120"/>
        <w:rPr>
          <w:rFonts w:ascii="宋体" w:hAnsi="宋体" w:eastAsia="宋体"/>
        </w:rPr>
      </w:pPr>
      <w:bookmarkStart w:id="55" w:name="_Toc186641460"/>
      <w:r>
        <w:rPr>
          <w:rFonts w:hint="eastAsia" w:ascii="宋体" w:hAnsi="宋体" w:eastAsia="宋体"/>
        </w:rPr>
        <w:t>装配式混合框架结构</w:t>
      </w:r>
      <w:r>
        <w:rPr>
          <w:rFonts w:ascii="宋体" w:hAnsi="宋体" w:eastAsia="宋体"/>
        </w:rPr>
        <w:t>地基基础设计应根据结构类型、作用和作用组合、勘察资料、拟建场地环境及施工条件，选择合理方案。</w:t>
      </w:r>
      <w:bookmarkEnd w:id="55"/>
    </w:p>
    <w:p>
      <w:pPr>
        <w:pStyle w:val="3"/>
        <w:spacing w:before="120" w:after="120"/>
        <w:rPr>
          <w:rFonts w:ascii="宋体" w:hAnsi="宋体" w:eastAsia="宋体"/>
        </w:rPr>
      </w:pPr>
      <w:bookmarkStart w:id="56" w:name="_Toc186641461"/>
      <w:r>
        <w:rPr>
          <w:rFonts w:ascii="宋体" w:hAnsi="宋体" w:eastAsia="宋体"/>
        </w:rPr>
        <w:t>结构设计时，应根据结构破坏可能产生后果的严重性，采用不同的安全等级，并应符合</w:t>
      </w:r>
      <w:r>
        <w:rPr>
          <w:rFonts w:hint="eastAsia" w:ascii="宋体" w:hAnsi="宋体" w:eastAsia="宋体"/>
        </w:rPr>
        <w:t>现行国家标准GB 5</w:t>
      </w:r>
      <w:r>
        <w:rPr>
          <w:rFonts w:ascii="宋体" w:hAnsi="宋体" w:eastAsia="宋体"/>
        </w:rPr>
        <w:t>5</w:t>
      </w:r>
      <w:r>
        <w:rPr>
          <w:rFonts w:hint="eastAsia" w:ascii="宋体" w:hAnsi="宋体" w:eastAsia="宋体"/>
        </w:rPr>
        <w:t>001</w:t>
      </w:r>
      <w:r>
        <w:rPr>
          <w:rFonts w:ascii="宋体" w:hAnsi="宋体" w:eastAsia="宋体"/>
        </w:rPr>
        <w:t>的规定。</w:t>
      </w:r>
      <w:bookmarkEnd w:id="56"/>
    </w:p>
    <w:p>
      <w:pPr>
        <w:pStyle w:val="3"/>
        <w:spacing w:before="120" w:after="120"/>
        <w:rPr>
          <w:rFonts w:ascii="宋体" w:hAnsi="宋体" w:eastAsia="宋体"/>
        </w:rPr>
      </w:pPr>
      <w:bookmarkStart w:id="57" w:name="_Toc186641462"/>
      <w:r>
        <w:rPr>
          <w:rFonts w:ascii="宋体" w:hAnsi="宋体" w:eastAsia="宋体"/>
        </w:rPr>
        <w:t>结构设计时，应根据工程的使用功能、建造和使用的维护成本及环境影响等因素规定设计工作年限，并应符合</w:t>
      </w:r>
      <w:r>
        <w:rPr>
          <w:rFonts w:hint="eastAsia" w:ascii="宋体" w:hAnsi="宋体" w:eastAsia="宋体"/>
        </w:rPr>
        <w:t>现行国家标准GB 5</w:t>
      </w:r>
      <w:r>
        <w:rPr>
          <w:rFonts w:ascii="宋体" w:hAnsi="宋体" w:eastAsia="宋体"/>
        </w:rPr>
        <w:t>5</w:t>
      </w:r>
      <w:r>
        <w:rPr>
          <w:rFonts w:hint="eastAsia" w:ascii="宋体" w:hAnsi="宋体" w:eastAsia="宋体"/>
        </w:rPr>
        <w:t>001</w:t>
      </w:r>
      <w:r>
        <w:rPr>
          <w:rFonts w:ascii="宋体" w:hAnsi="宋体" w:eastAsia="宋体"/>
        </w:rPr>
        <w:t>的规定。</w:t>
      </w:r>
      <w:bookmarkEnd w:id="57"/>
    </w:p>
    <w:p>
      <w:pPr>
        <w:pStyle w:val="3"/>
        <w:spacing w:before="120" w:after="120"/>
        <w:rPr>
          <w:rFonts w:ascii="宋体" w:hAnsi="宋体" w:eastAsia="宋体"/>
        </w:rPr>
      </w:pPr>
      <w:bookmarkStart w:id="58" w:name="_Toc186641463"/>
      <w:r>
        <w:rPr>
          <w:rFonts w:hint="eastAsia" w:ascii="宋体" w:hAnsi="宋体" w:eastAsia="宋体"/>
        </w:rPr>
        <w:t>RC-SB结构装配式钢筋混凝土柱构件宜采用免拆模壳钢筋一体化的制造方案、安装工法和施工工艺。免拆模壳与柱钢筋宜在工厂集成制造，经过梁柱构件转运、现场整体安装，最后浇筑柱混凝土（图</w:t>
      </w:r>
      <w:r>
        <w:rPr>
          <w:rFonts w:ascii="宋体" w:hAnsi="宋体" w:eastAsia="宋体"/>
        </w:rPr>
        <w:t>1</w:t>
      </w:r>
      <w:r>
        <w:rPr>
          <w:rFonts w:hint="eastAsia" w:ascii="宋体" w:hAnsi="宋体" w:eastAsia="宋体"/>
        </w:rPr>
        <w:t>）。</w:t>
      </w:r>
      <w:bookmarkEnd w:id="58"/>
    </w:p>
    <w:p>
      <w:pPr>
        <w:ind w:firstLine="420"/>
      </w:pPr>
      <w:r>
        <w:rPr>
          <w:rFonts w:hint="eastAsia"/>
        </w:rPr>
        <w:t xml:space="preserve">                  </w:t>
      </w:r>
      <w:r>
        <w:rPr>
          <w:rFonts w:hint="eastAsia"/>
        </w:rPr>
        <w:drawing>
          <wp:inline distT="0" distB="0" distL="114300" distR="114300">
            <wp:extent cx="2884805" cy="1987550"/>
            <wp:effectExtent l="0" t="0" r="0" b="0"/>
            <wp:docPr id="19" name="图片 19" descr="136c20359c95277ce266c0822995e86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36c20359c95277ce266c0822995e86b"/>
                    <pic:cNvPicPr>
                      <a:picLocks noChangeAspect="true"/>
                    </pic:cNvPicPr>
                  </pic:nvPicPr>
                  <pic:blipFill>
                    <a:blip r:embed="rId16"/>
                    <a:srcRect b="6554"/>
                    <a:stretch>
                      <a:fillRect/>
                    </a:stretch>
                  </pic:blipFill>
                  <pic:spPr>
                    <a:xfrm>
                      <a:off x="0" y="0"/>
                      <a:ext cx="2884805" cy="1987826"/>
                    </a:xfrm>
                    <a:prstGeom prst="rect">
                      <a:avLst/>
                    </a:prstGeom>
                    <a:ln>
                      <a:noFill/>
                    </a:ln>
                  </pic:spPr>
                </pic:pic>
              </a:graphicData>
            </a:graphic>
          </wp:inline>
        </w:drawing>
      </w:r>
    </w:p>
    <w:p>
      <w:pPr>
        <w:spacing w:line="400" w:lineRule="exact"/>
        <w:ind w:firstLine="420"/>
        <w:rPr>
          <w:rFonts w:ascii="黑体" w:hAnsi="黑体" w:eastAsia="黑体"/>
          <w:bCs/>
          <w:szCs w:val="32"/>
        </w:rPr>
      </w:pPr>
      <w:r>
        <w:rPr>
          <w:rFonts w:hint="eastAsia"/>
        </w:rPr>
        <w:t xml:space="preserve">                          </w:t>
      </w:r>
      <w:r>
        <w:rPr>
          <w:rFonts w:hint="eastAsia" w:ascii="黑体" w:hAnsi="黑体" w:eastAsia="黑体"/>
        </w:rPr>
        <w:t>图1</w:t>
      </w:r>
      <w:r>
        <w:rPr>
          <w:rFonts w:hint="eastAsia" w:ascii="黑体" w:hAnsi="黑体" w:eastAsia="黑体" w:cs="黑体"/>
        </w:rPr>
        <w:t>　</w:t>
      </w:r>
      <w:r>
        <w:rPr>
          <w:rFonts w:hint="eastAsia" w:ascii="黑体" w:hAnsi="黑体" w:eastAsia="黑体" w:cs="宋体"/>
        </w:rPr>
        <w:t>免拆模壳钢筋一体化的制造示意</w:t>
      </w:r>
      <w:r>
        <w:rPr>
          <w:rFonts w:hint="eastAsia" w:ascii="黑体" w:hAnsi="黑体" w:eastAsia="黑体"/>
        </w:rPr>
        <w:t xml:space="preserve">   </w:t>
      </w:r>
    </w:p>
    <w:p>
      <w:pPr>
        <w:pStyle w:val="3"/>
        <w:spacing w:before="120" w:after="120"/>
        <w:rPr>
          <w:rFonts w:ascii="宋体" w:hAnsi="宋体" w:eastAsia="宋体"/>
        </w:rPr>
      </w:pPr>
      <w:bookmarkStart w:id="59" w:name="_Toc186641464"/>
      <w:r>
        <w:rPr>
          <w:rFonts w:hint="eastAsia" w:ascii="宋体" w:hAnsi="宋体" w:eastAsia="宋体"/>
        </w:rPr>
        <w:t>本文件装配式混合框架结构装配率应满足湖北省地方标准D</w:t>
      </w:r>
      <w:r>
        <w:rPr>
          <w:rFonts w:ascii="宋体" w:hAnsi="宋体" w:eastAsia="宋体"/>
        </w:rPr>
        <w:t>B42/T 2179的</w:t>
      </w:r>
      <w:r>
        <w:rPr>
          <w:rFonts w:hint="eastAsia" w:ascii="宋体" w:hAnsi="宋体" w:eastAsia="宋体"/>
        </w:rPr>
        <w:t>相关规定。</w:t>
      </w:r>
      <w:bookmarkEnd w:id="59"/>
    </w:p>
    <w:p>
      <w:pPr>
        <w:pStyle w:val="3"/>
        <w:spacing w:before="120" w:after="120"/>
        <w:rPr>
          <w:rFonts w:ascii="宋体" w:hAnsi="宋体" w:eastAsia="宋体"/>
        </w:rPr>
      </w:pPr>
      <w:bookmarkStart w:id="60" w:name="_Toc186641465"/>
      <w:r>
        <w:rPr>
          <w:rFonts w:ascii="宋体" w:hAnsi="宋体" w:eastAsia="宋体"/>
        </w:rPr>
        <w:t>装配式混合框架</w:t>
      </w:r>
      <w:r>
        <w:rPr>
          <w:rFonts w:hint="eastAsia" w:ascii="宋体" w:hAnsi="宋体" w:eastAsia="宋体"/>
        </w:rPr>
        <w:t>结构的应用，除应符合本文件的规定外，尚应符合国家、行业等有关标准规定。</w:t>
      </w:r>
      <w:bookmarkEnd w:id="60"/>
    </w:p>
    <w:p>
      <w:pPr>
        <w:pStyle w:val="2"/>
        <w:keepNext w:val="0"/>
        <w:keepLines w:val="0"/>
        <w:spacing w:before="240" w:after="240"/>
      </w:pPr>
      <w:bookmarkStart w:id="61" w:name="_Toc186641466"/>
      <w:r>
        <w:t>材料</w:t>
      </w:r>
      <w:bookmarkEnd w:id="61"/>
    </w:p>
    <w:p>
      <w:pPr>
        <w:pStyle w:val="3"/>
        <w:spacing w:before="120" w:after="120" w:line="360" w:lineRule="auto"/>
      </w:pPr>
      <w:bookmarkStart w:id="62" w:name="_Toc16258"/>
      <w:bookmarkStart w:id="63" w:name="_Toc186641467"/>
      <w:r>
        <w:rPr>
          <w:rFonts w:hint="eastAsia"/>
        </w:rPr>
        <w:t>钢材</w:t>
      </w:r>
      <w:bookmarkEnd w:id="62"/>
      <w:bookmarkEnd w:id="63"/>
    </w:p>
    <w:p>
      <w:pPr>
        <w:pStyle w:val="4"/>
        <w:ind w:right="210"/>
      </w:pPr>
      <w:r>
        <w:t>钢</w:t>
      </w:r>
      <w:r>
        <w:rPr>
          <w:rFonts w:hint="eastAsia"/>
        </w:rPr>
        <w:t>材的选用及材料性能应符合现行国家标准GB 50017的有关规定，</w:t>
      </w:r>
      <w:r>
        <w:t>钢材质量应分别符合</w:t>
      </w:r>
      <w:r>
        <w:rPr>
          <w:rFonts w:hint="eastAsia"/>
        </w:rPr>
        <w:t>现行国家标准</w:t>
      </w:r>
      <w:r>
        <w:t>GB/T 700、GB/T 1591和GB/T 19879的规定。</w:t>
      </w:r>
    </w:p>
    <w:p>
      <w:pPr>
        <w:pStyle w:val="4"/>
        <w:ind w:right="210"/>
      </w:pPr>
      <w:r>
        <w:t>钢材应具有屈服强度、伸长率、抗拉强度和硫、磷含量的合格保证，对焊接结构尚应具有碳含量的合格保证及冷弯试验的合格保证。对高层建筑的承重构件还应具有冲击韧性合格保证。</w:t>
      </w:r>
    </w:p>
    <w:p>
      <w:pPr>
        <w:pStyle w:val="4"/>
        <w:ind w:right="210"/>
      </w:pPr>
      <w:r>
        <w:t>钢板厚度大于或等于40mm</w:t>
      </w:r>
      <w:r>
        <w:rPr>
          <w:rFonts w:hint="eastAsia"/>
        </w:rPr>
        <w:t>，</w:t>
      </w:r>
      <w:r>
        <w:t>且承受沿板厚方向拉力的焊接连接板件，钢板厚度方向截面收缩率，不应小于</w:t>
      </w:r>
      <w:r>
        <w:rPr>
          <w:rFonts w:hint="eastAsia"/>
        </w:rPr>
        <w:t>现行国家标准</w:t>
      </w:r>
      <w:r>
        <w:t>GB/T 5313中Z15级规定的容许值。</w:t>
      </w:r>
    </w:p>
    <w:p>
      <w:pPr>
        <w:pStyle w:val="4"/>
        <w:ind w:right="210"/>
        <w:rPr>
          <w:bCs w:val="0"/>
          <w:lang w:val="zh-CN"/>
        </w:rPr>
      </w:pPr>
      <w:r>
        <w:rPr>
          <w:rFonts w:hint="eastAsia"/>
          <w:bCs w:val="0"/>
        </w:rPr>
        <w:t>抗震设计时</w:t>
      </w:r>
      <w:r>
        <w:rPr>
          <w:rFonts w:hint="eastAsia"/>
          <w:bCs w:val="0"/>
          <w:lang w:val="zh-CN"/>
        </w:rPr>
        <w:t>，钢材应符合下列规定：</w:t>
      </w:r>
    </w:p>
    <w:p>
      <w:pPr>
        <w:numPr>
          <w:ilvl w:val="0"/>
          <w:numId w:val="11"/>
        </w:numPr>
        <w:ind w:left="0" w:firstLine="420"/>
      </w:pPr>
      <w:r>
        <w:rPr>
          <w:rFonts w:hint="eastAsia"/>
          <w:lang w:val="zh-CN"/>
        </w:rPr>
        <w:t>钢材的屈服强度实测值与抗拉强度实测值的比值不应大于0.85。</w:t>
      </w:r>
    </w:p>
    <w:p>
      <w:pPr>
        <w:numPr>
          <w:ilvl w:val="0"/>
          <w:numId w:val="11"/>
        </w:numPr>
        <w:ind w:left="0" w:firstLine="420"/>
        <w:rPr>
          <w:lang w:val="zh-CN"/>
        </w:rPr>
      </w:pPr>
      <w:r>
        <w:rPr>
          <w:rFonts w:hint="eastAsia"/>
          <w:lang w:val="zh-CN"/>
        </w:rPr>
        <w:t>钢材应有明显的屈服台阶，且伸长率不应小于20%。</w:t>
      </w:r>
    </w:p>
    <w:p>
      <w:pPr>
        <w:numPr>
          <w:ilvl w:val="0"/>
          <w:numId w:val="11"/>
        </w:numPr>
        <w:ind w:left="0" w:firstLine="420"/>
        <w:rPr>
          <w:lang w:val="zh-CN"/>
        </w:rPr>
      </w:pPr>
      <w:r>
        <w:rPr>
          <w:rFonts w:hint="eastAsia"/>
          <w:lang w:val="zh-CN"/>
        </w:rPr>
        <w:t>钢材应有良好的</w:t>
      </w:r>
      <w:r>
        <w:rPr>
          <w:rFonts w:hint="eastAsia"/>
        </w:rPr>
        <w:t>焊接</w:t>
      </w:r>
      <w:r>
        <w:rPr>
          <w:rFonts w:hint="eastAsia"/>
          <w:lang w:val="zh-CN"/>
        </w:rPr>
        <w:t>性和合格的冲击韧性。</w:t>
      </w:r>
    </w:p>
    <w:p>
      <w:pPr>
        <w:pStyle w:val="4"/>
        <w:ind w:right="210"/>
        <w:rPr>
          <w:lang w:val="zh-CN"/>
        </w:rPr>
      </w:pPr>
      <w:r>
        <w:rPr>
          <w:rFonts w:hint="eastAsia"/>
          <w:lang w:val="zh-CN"/>
        </w:rPr>
        <w:t>处于外露环境，且对耐腐蚀有特殊要求或处于侵蚀性介质环境中的承重结构，</w:t>
      </w:r>
      <w:r>
        <w:rPr>
          <w:rFonts w:hint="eastAsia"/>
        </w:rPr>
        <w:t>可</w:t>
      </w:r>
      <w:r>
        <w:rPr>
          <w:rFonts w:hint="eastAsia"/>
          <w:lang w:val="zh-CN"/>
        </w:rPr>
        <w:t>采用耐候结构钢，其质量要求应符合</w:t>
      </w:r>
      <w:r>
        <w:rPr>
          <w:rFonts w:hint="eastAsia"/>
        </w:rPr>
        <w:t>现行国家标准</w:t>
      </w:r>
      <w:r>
        <w:rPr>
          <w:rFonts w:hint="eastAsia"/>
          <w:lang w:val="zh-CN"/>
        </w:rPr>
        <w:t>GB/T</w:t>
      </w:r>
      <w:r>
        <w:rPr>
          <w:lang w:val="zh-CN"/>
        </w:rPr>
        <w:t xml:space="preserve"> </w:t>
      </w:r>
      <w:r>
        <w:rPr>
          <w:rFonts w:hint="eastAsia"/>
          <w:lang w:val="zh-CN"/>
        </w:rPr>
        <w:t>4171的规定。</w:t>
      </w:r>
    </w:p>
    <w:p>
      <w:pPr>
        <w:pStyle w:val="3"/>
        <w:spacing w:before="120" w:after="120" w:line="360" w:lineRule="exact"/>
      </w:pPr>
      <w:bookmarkStart w:id="64" w:name="_Toc28037"/>
      <w:bookmarkStart w:id="65" w:name="_Toc186641468"/>
      <w:r>
        <w:rPr>
          <w:rFonts w:hint="eastAsia"/>
        </w:rPr>
        <w:t>钢筋</w:t>
      </w:r>
      <w:bookmarkEnd w:id="64"/>
      <w:bookmarkEnd w:id="65"/>
    </w:p>
    <w:p>
      <w:pPr>
        <w:pStyle w:val="4"/>
        <w:ind w:right="210"/>
      </w:pPr>
      <w:r>
        <w:rPr>
          <w:rFonts w:hint="eastAsia"/>
          <w:lang w:val="zh-CN"/>
        </w:rPr>
        <w:t>钢筋的选用及材料性能</w:t>
      </w:r>
      <w:r>
        <w:rPr>
          <w:rFonts w:hint="eastAsia"/>
        </w:rPr>
        <w:t>应</w:t>
      </w:r>
      <w:r>
        <w:rPr>
          <w:rFonts w:hint="eastAsia"/>
          <w:lang w:val="zh-CN"/>
        </w:rPr>
        <w:t>符合</w:t>
      </w:r>
      <w:r>
        <w:rPr>
          <w:rFonts w:hint="eastAsia"/>
        </w:rPr>
        <w:t>现行国家标准</w:t>
      </w:r>
      <w:r>
        <w:rPr>
          <w:rFonts w:hint="eastAsia"/>
          <w:lang w:val="zh-CN"/>
        </w:rPr>
        <w:t>GB</w:t>
      </w:r>
      <w:r>
        <w:rPr>
          <w:rFonts w:hint="eastAsia"/>
        </w:rPr>
        <w:t xml:space="preserve">/T </w:t>
      </w:r>
      <w:r>
        <w:rPr>
          <w:rFonts w:hint="eastAsia"/>
          <w:lang w:val="zh-CN"/>
        </w:rPr>
        <w:t>50010的规定。</w:t>
      </w:r>
    </w:p>
    <w:p>
      <w:pPr>
        <w:pStyle w:val="4"/>
        <w:ind w:right="210"/>
      </w:pPr>
      <w:r>
        <w:rPr>
          <w:rFonts w:hint="eastAsia"/>
          <w:bCs w:val="0"/>
          <w:lang w:val="zh-CN"/>
        </w:rPr>
        <w:t>抗震等级为特一、一、二、三级的各类框架和斜撑构件，其纵向受力钢筋应采用牌号中带</w:t>
      </w:r>
      <w:r>
        <w:rPr>
          <w:bCs w:val="0"/>
          <w:lang w:val="zh-CN"/>
        </w:rPr>
        <w:t>“</w:t>
      </w:r>
      <w:r>
        <w:rPr>
          <w:rFonts w:hint="eastAsia"/>
          <w:bCs w:val="0"/>
          <w:lang w:val="zh-CN"/>
        </w:rPr>
        <w:t>E</w:t>
      </w:r>
      <w:r>
        <w:rPr>
          <w:bCs w:val="0"/>
          <w:lang w:val="zh-CN"/>
        </w:rPr>
        <w:t>”</w:t>
      </w:r>
      <w:r>
        <w:rPr>
          <w:rFonts w:hint="eastAsia"/>
          <w:bCs w:val="0"/>
          <w:lang w:val="zh-CN"/>
        </w:rPr>
        <w:t>的热轧带肋钢筋，并应符合下列规定：</w:t>
      </w:r>
    </w:p>
    <w:p>
      <w:pPr>
        <w:numPr>
          <w:ilvl w:val="0"/>
          <w:numId w:val="12"/>
        </w:numPr>
        <w:ind w:left="0" w:firstLine="420"/>
        <w:rPr>
          <w:lang w:val="zh-CN"/>
        </w:rPr>
      </w:pPr>
      <w:r>
        <w:rPr>
          <w:rFonts w:hint="eastAsia"/>
          <w:lang w:val="zh-CN"/>
        </w:rPr>
        <w:t>钢筋的抗拉强度实测值与屈服强度实测值的比值不应小于1.25。</w:t>
      </w:r>
    </w:p>
    <w:p>
      <w:pPr>
        <w:numPr>
          <w:ilvl w:val="0"/>
          <w:numId w:val="12"/>
        </w:numPr>
        <w:ind w:left="0" w:firstLine="420"/>
        <w:rPr>
          <w:lang w:val="zh-CN"/>
        </w:rPr>
      </w:pPr>
      <w:r>
        <w:rPr>
          <w:rFonts w:hint="eastAsia"/>
          <w:lang w:val="zh-CN"/>
        </w:rPr>
        <w:t>钢筋的屈服强度实测值与屈服强度标准值的比值不应大于1.30。</w:t>
      </w:r>
    </w:p>
    <w:p>
      <w:pPr>
        <w:numPr>
          <w:ilvl w:val="0"/>
          <w:numId w:val="12"/>
        </w:numPr>
        <w:ind w:left="0" w:firstLine="420"/>
        <w:rPr>
          <w:lang w:val="zh-CN"/>
        </w:rPr>
      </w:pPr>
      <w:r>
        <w:rPr>
          <w:rFonts w:hint="eastAsia"/>
          <w:lang w:val="zh-CN"/>
        </w:rPr>
        <w:t>钢筋最大拉力下的总伸长率实测值不应小于9%。</w:t>
      </w:r>
      <w:r>
        <w:rPr>
          <w:rFonts w:hint="eastAsia"/>
        </w:rPr>
        <w:t xml:space="preserve"> </w:t>
      </w:r>
    </w:p>
    <w:p>
      <w:pPr>
        <w:pStyle w:val="3"/>
        <w:spacing w:before="120" w:after="120" w:line="360" w:lineRule="exact"/>
      </w:pPr>
      <w:r>
        <w:rPr>
          <w:rFonts w:hint="eastAsia"/>
          <w:b/>
          <w:bCs w:val="0"/>
          <w:color w:val="0070C0"/>
        </w:rPr>
        <w:t xml:space="preserve"> </w:t>
      </w:r>
      <w:bookmarkStart w:id="66" w:name="_Toc19878"/>
      <w:bookmarkStart w:id="67" w:name="_Toc186641469"/>
      <w:r>
        <w:rPr>
          <w:rFonts w:hint="eastAsia"/>
        </w:rPr>
        <w:t>混凝土</w:t>
      </w:r>
      <w:bookmarkEnd w:id="66"/>
      <w:bookmarkEnd w:id="67"/>
    </w:p>
    <w:p>
      <w:pPr>
        <w:pStyle w:val="4"/>
        <w:ind w:right="210"/>
      </w:pPr>
      <w:r>
        <w:rPr>
          <w:rFonts w:hint="eastAsia"/>
        </w:rPr>
        <w:t>装配式混合框架结构</w:t>
      </w:r>
      <w:r>
        <w:rPr>
          <w:rFonts w:hint="eastAsia"/>
          <w:lang w:val="zh-CN"/>
        </w:rPr>
        <w:t>构件采用的混凝土强度等级不</w:t>
      </w:r>
      <w:r>
        <w:rPr>
          <w:rFonts w:hint="eastAsia"/>
        </w:rPr>
        <w:t>应</w:t>
      </w:r>
      <w:r>
        <w:rPr>
          <w:rFonts w:hint="eastAsia"/>
          <w:lang w:val="zh-CN"/>
        </w:rPr>
        <w:t>低于C30</w:t>
      </w:r>
      <w:r>
        <w:rPr>
          <w:rFonts w:hint="eastAsia"/>
        </w:rPr>
        <w:t>；</w:t>
      </w:r>
      <w:r>
        <w:rPr>
          <w:rFonts w:hint="eastAsia"/>
          <w:lang w:val="zh-CN"/>
        </w:rPr>
        <w:t>有抗震设防要求时，</w:t>
      </w:r>
      <w:r>
        <w:rPr>
          <w:rFonts w:hint="eastAsia"/>
        </w:rPr>
        <w:t>混凝土</w:t>
      </w:r>
      <w:r>
        <w:rPr>
          <w:rFonts w:hint="eastAsia"/>
          <w:lang w:val="zh-CN"/>
        </w:rPr>
        <w:t>不宜超过C</w:t>
      </w:r>
      <w:r>
        <w:rPr>
          <w:rFonts w:hint="eastAsia"/>
        </w:rPr>
        <w:t>7</w:t>
      </w:r>
      <w:r>
        <w:rPr>
          <w:rFonts w:hint="eastAsia"/>
          <w:lang w:val="zh-CN"/>
        </w:rPr>
        <w:t>0。钢管中的混凝土强度等级，对Q235钢管，不宜低于C40</w:t>
      </w:r>
      <w:r>
        <w:rPr>
          <w:rFonts w:hint="eastAsia"/>
        </w:rPr>
        <w:t>；</w:t>
      </w:r>
      <w:r>
        <w:rPr>
          <w:rFonts w:hint="eastAsia"/>
          <w:lang w:val="zh-CN"/>
        </w:rPr>
        <w:t>对Q3</w:t>
      </w:r>
      <w:r>
        <w:rPr>
          <w:rFonts w:hint="eastAsia"/>
        </w:rPr>
        <w:t>5</w:t>
      </w:r>
      <w:r>
        <w:rPr>
          <w:rFonts w:hint="eastAsia"/>
          <w:lang w:val="zh-CN"/>
        </w:rPr>
        <w:t>5钢管，不宜低于C50</w:t>
      </w:r>
      <w:r>
        <w:rPr>
          <w:rFonts w:hint="eastAsia"/>
        </w:rPr>
        <w:t>；</w:t>
      </w:r>
      <w:r>
        <w:rPr>
          <w:rFonts w:hint="eastAsia"/>
          <w:lang w:val="zh-CN"/>
        </w:rPr>
        <w:t>对 Q390，Q420钢管，不应低于 C50。</w:t>
      </w:r>
    </w:p>
    <w:p>
      <w:pPr>
        <w:pStyle w:val="4"/>
        <w:ind w:right="210"/>
      </w:pPr>
      <w:r>
        <w:rPr>
          <w:lang w:val="zh-CN"/>
        </w:rPr>
        <w:t>混凝土</w:t>
      </w:r>
      <w:r>
        <w:t>材料性能应符合</w:t>
      </w:r>
      <w:r>
        <w:rPr>
          <w:rFonts w:hint="eastAsia"/>
        </w:rPr>
        <w:t>现行国家标准</w:t>
      </w:r>
      <w:r>
        <w:t>GB/T 50010和GB/T 50476的规定</w:t>
      </w:r>
      <w:r>
        <w:rPr>
          <w:rFonts w:hint="eastAsia"/>
        </w:rPr>
        <w:t>。</w:t>
      </w:r>
    </w:p>
    <w:p>
      <w:pPr>
        <w:pStyle w:val="4"/>
        <w:ind w:right="210"/>
      </w:pPr>
      <w:r>
        <w:rPr>
          <w:rFonts w:hint="eastAsia"/>
        </w:rPr>
        <w:t>钢管混凝土构件和装配式钢筋混凝土柱构件中宜采用自密实混凝土，也可采用普通混凝土或再生骨料混凝土，其配合比设计、施工、质量检验和验收应分别满足现行国家标准J</w:t>
      </w:r>
      <w:r>
        <w:t>GJ/T 283</w:t>
      </w:r>
      <w:r>
        <w:rPr>
          <w:rFonts w:hint="eastAsia"/>
        </w:rPr>
        <w:t>及</w:t>
      </w:r>
      <w:r>
        <w:t>JGJ/T 240</w:t>
      </w:r>
      <w:r>
        <w:rPr>
          <w:rFonts w:hint="eastAsia"/>
        </w:rPr>
        <w:t>的规定。</w:t>
      </w:r>
    </w:p>
    <w:p>
      <w:pPr>
        <w:pStyle w:val="3"/>
        <w:spacing w:before="120" w:after="120" w:line="360" w:lineRule="exact"/>
      </w:pPr>
      <w:bookmarkStart w:id="68" w:name="_Toc11188"/>
      <w:bookmarkStart w:id="69" w:name="_Toc186641470"/>
      <w:r>
        <w:rPr>
          <w:rFonts w:hint="eastAsia"/>
        </w:rPr>
        <w:t>连接材料</w:t>
      </w:r>
      <w:bookmarkEnd w:id="68"/>
      <w:bookmarkEnd w:id="69"/>
    </w:p>
    <w:p>
      <w:pPr>
        <w:pStyle w:val="4"/>
        <w:ind w:right="210"/>
        <w:rPr>
          <w:lang w:val="zh-CN"/>
        </w:rPr>
      </w:pPr>
      <w:r>
        <w:rPr>
          <w:rFonts w:hint="eastAsia"/>
          <w:lang w:val="zh-CN"/>
        </w:rPr>
        <w:t>钢材的焊接材料应符合下列要求：</w:t>
      </w:r>
    </w:p>
    <w:p>
      <w:pPr>
        <w:numPr>
          <w:ilvl w:val="0"/>
          <w:numId w:val="13"/>
        </w:numPr>
        <w:ind w:left="0" w:firstLine="420"/>
        <w:rPr>
          <w:lang w:val="zh-CN"/>
        </w:rPr>
      </w:pPr>
      <w:r>
        <w:rPr>
          <w:rFonts w:hint="eastAsia"/>
          <w:lang w:val="zh-CN"/>
        </w:rPr>
        <w:t>手工焊接用焊条应与主体金属力学性能相适应，且应符合</w:t>
      </w:r>
      <w:r>
        <w:rPr>
          <w:rFonts w:hint="eastAsia"/>
        </w:rPr>
        <w:t>现行国家标准</w:t>
      </w:r>
      <w:r>
        <w:rPr>
          <w:rFonts w:hint="eastAsia"/>
          <w:lang w:val="zh-CN"/>
        </w:rPr>
        <w:t>GB/T</w:t>
      </w:r>
      <w:r>
        <w:rPr>
          <w:lang w:val="zh-CN"/>
        </w:rPr>
        <w:t xml:space="preserve"> </w:t>
      </w:r>
      <w:r>
        <w:rPr>
          <w:rFonts w:hint="eastAsia"/>
          <w:lang w:val="zh-CN"/>
        </w:rPr>
        <w:t>5117</w:t>
      </w:r>
      <w:r>
        <w:rPr>
          <w:rFonts w:hint="eastAsia"/>
        </w:rPr>
        <w:t>及</w:t>
      </w:r>
      <w:r>
        <w:rPr>
          <w:rFonts w:hint="eastAsia"/>
          <w:lang w:val="zh-CN"/>
        </w:rPr>
        <w:t>GB/T</w:t>
      </w:r>
      <w:r>
        <w:rPr>
          <w:lang w:val="zh-CN"/>
        </w:rPr>
        <w:t xml:space="preserve"> </w:t>
      </w:r>
      <w:r>
        <w:rPr>
          <w:rFonts w:hint="eastAsia"/>
          <w:lang w:val="zh-CN"/>
        </w:rPr>
        <w:t>5118的规定。</w:t>
      </w:r>
    </w:p>
    <w:p>
      <w:pPr>
        <w:numPr>
          <w:ilvl w:val="0"/>
          <w:numId w:val="13"/>
        </w:numPr>
        <w:ind w:left="0" w:firstLine="420"/>
        <w:rPr>
          <w:lang w:val="zh-CN"/>
        </w:rPr>
      </w:pPr>
      <w:r>
        <w:rPr>
          <w:rFonts w:hint="eastAsia"/>
          <w:lang w:val="zh-CN"/>
        </w:rPr>
        <w:t>自动焊接或半自动焊接采用的焊丝和焊剂，应与主体金属力学性能相适应，且应符合</w:t>
      </w:r>
      <w:r>
        <w:rPr>
          <w:rFonts w:hint="eastAsia"/>
        </w:rPr>
        <w:t>现行国家标准</w:t>
      </w:r>
      <w:r>
        <w:rPr>
          <w:rFonts w:hint="eastAsia"/>
          <w:lang w:val="zh-CN"/>
        </w:rPr>
        <w:t>GB/T</w:t>
      </w:r>
      <w:r>
        <w:rPr>
          <w:rFonts w:hint="eastAsia"/>
        </w:rPr>
        <w:t xml:space="preserve"> </w:t>
      </w:r>
      <w:r>
        <w:rPr>
          <w:rFonts w:hint="eastAsia"/>
          <w:lang w:val="zh-CN"/>
        </w:rPr>
        <w:t>5293、GB/T</w:t>
      </w:r>
      <w:r>
        <w:rPr>
          <w:rFonts w:hint="eastAsia"/>
        </w:rPr>
        <w:t xml:space="preserve"> </w:t>
      </w:r>
      <w:r>
        <w:rPr>
          <w:rFonts w:hint="eastAsia"/>
          <w:lang w:val="zh-CN"/>
        </w:rPr>
        <w:t>12470</w:t>
      </w:r>
      <w:r>
        <w:rPr>
          <w:rFonts w:hint="eastAsia"/>
        </w:rPr>
        <w:t>及</w:t>
      </w:r>
      <w:r>
        <w:rPr>
          <w:rFonts w:hint="eastAsia"/>
          <w:lang w:val="zh-CN"/>
        </w:rPr>
        <w:t>GB/T</w:t>
      </w:r>
      <w:r>
        <w:rPr>
          <w:rFonts w:hint="eastAsia"/>
        </w:rPr>
        <w:t xml:space="preserve"> </w:t>
      </w:r>
      <w:r>
        <w:rPr>
          <w:rFonts w:hint="eastAsia"/>
          <w:lang w:val="zh-CN"/>
        </w:rPr>
        <w:t>8110的规定。</w:t>
      </w:r>
    </w:p>
    <w:p>
      <w:pPr>
        <w:numPr>
          <w:ilvl w:val="0"/>
          <w:numId w:val="13"/>
        </w:numPr>
        <w:ind w:left="0" w:firstLine="420"/>
        <w:rPr>
          <w:lang w:val="zh-CN"/>
        </w:rPr>
      </w:pPr>
      <w:r>
        <w:rPr>
          <w:rFonts w:hint="eastAsia"/>
          <w:lang w:val="zh-CN"/>
        </w:rPr>
        <w:t>当两种不同的钢材相连时，应采用与低强度钢材主体金属力学性能相适应的焊接材料。</w:t>
      </w:r>
    </w:p>
    <w:p>
      <w:pPr>
        <w:pStyle w:val="4"/>
        <w:ind w:right="210"/>
        <w:rPr>
          <w:lang w:val="zh-CN"/>
        </w:rPr>
      </w:pPr>
      <w:r>
        <w:rPr>
          <w:rFonts w:hint="eastAsia"/>
          <w:lang w:val="zh-CN"/>
        </w:rPr>
        <w:t>焊缝的强度设计值应按</w:t>
      </w:r>
      <w:r>
        <w:rPr>
          <w:rFonts w:hint="eastAsia"/>
        </w:rPr>
        <w:t>现行国家标准</w:t>
      </w:r>
      <w:r>
        <w:rPr>
          <w:rFonts w:hint="eastAsia"/>
          <w:lang w:val="zh-CN"/>
        </w:rPr>
        <w:t>GB 50017 执行。</w:t>
      </w:r>
    </w:p>
    <w:p>
      <w:pPr>
        <w:pStyle w:val="4"/>
        <w:numPr>
          <w:ilvl w:val="0"/>
          <w:numId w:val="14"/>
        </w:numPr>
        <w:ind w:left="0" w:right="210" w:firstLine="420"/>
        <w:rPr>
          <w:lang w:val="zh-CN"/>
        </w:rPr>
      </w:pPr>
      <w:bookmarkStart w:id="70" w:name="_Toc8491"/>
      <w:r>
        <w:rPr>
          <w:rFonts w:hint="eastAsia"/>
        </w:rPr>
        <w:t>钢构件连接螺栓</w:t>
      </w:r>
      <w:r>
        <w:rPr>
          <w:rFonts w:hint="eastAsia"/>
          <w:lang w:val="zh-CN"/>
        </w:rPr>
        <w:t>应符合下列规定：普通螺栓应符合</w:t>
      </w:r>
      <w:r>
        <w:rPr>
          <w:rFonts w:hint="eastAsia"/>
        </w:rPr>
        <w:t>现行国家标准</w:t>
      </w:r>
      <w:r>
        <w:rPr>
          <w:rFonts w:hint="eastAsia"/>
          <w:lang w:val="zh-CN"/>
        </w:rPr>
        <w:t>GB/T 5780和GB/T 5782的规定。</w:t>
      </w:r>
    </w:p>
    <w:p>
      <w:pPr>
        <w:numPr>
          <w:ilvl w:val="0"/>
          <w:numId w:val="14"/>
        </w:numPr>
        <w:ind w:left="0" w:firstLine="420"/>
        <w:rPr>
          <w:lang w:val="zh-CN"/>
        </w:rPr>
      </w:pPr>
      <w:r>
        <w:rPr>
          <w:rFonts w:hint="eastAsia"/>
          <w:lang w:val="zh-CN"/>
        </w:rPr>
        <w:t>高强度螺栓应符合</w:t>
      </w:r>
      <w:r>
        <w:rPr>
          <w:rFonts w:hint="eastAsia"/>
        </w:rPr>
        <w:t>现行国家标准</w:t>
      </w:r>
      <w:r>
        <w:rPr>
          <w:rFonts w:hint="eastAsia"/>
          <w:lang w:val="zh-CN"/>
        </w:rPr>
        <w:t>GB/T 1228、GB/T</w:t>
      </w:r>
      <w:r>
        <w:rPr>
          <w:lang w:val="zh-CN"/>
        </w:rPr>
        <w:t xml:space="preserve"> </w:t>
      </w:r>
      <w:r>
        <w:rPr>
          <w:rFonts w:hint="eastAsia"/>
          <w:lang w:val="zh-CN"/>
        </w:rPr>
        <w:t>1229、GB/T 1230、GB/T 1231或GB/T 3632的规定。</w:t>
      </w:r>
    </w:p>
    <w:p>
      <w:pPr>
        <w:numPr>
          <w:ilvl w:val="0"/>
          <w:numId w:val="14"/>
        </w:numPr>
        <w:ind w:left="0" w:firstLine="420"/>
        <w:rPr>
          <w:lang w:val="zh-CN"/>
        </w:rPr>
      </w:pPr>
      <w:r>
        <w:rPr>
          <w:rFonts w:hint="eastAsia"/>
          <w:lang w:val="zh-CN"/>
        </w:rPr>
        <w:t>普通螺栓连接和高强度螺栓连接的设计应按</w:t>
      </w:r>
      <w:r>
        <w:rPr>
          <w:rFonts w:hint="eastAsia"/>
        </w:rPr>
        <w:t>现行国家标准</w:t>
      </w:r>
      <w:r>
        <w:rPr>
          <w:rFonts w:hint="eastAsia"/>
          <w:lang w:val="zh-CN"/>
        </w:rPr>
        <w:t>GB</w:t>
      </w:r>
      <w:r>
        <w:rPr>
          <w:lang w:val="zh-CN"/>
        </w:rPr>
        <w:t xml:space="preserve"> </w:t>
      </w:r>
      <w:r>
        <w:rPr>
          <w:rFonts w:hint="eastAsia"/>
          <w:lang w:val="zh-CN"/>
        </w:rPr>
        <w:t>50017执行。</w:t>
      </w:r>
    </w:p>
    <w:p>
      <w:pPr>
        <w:pStyle w:val="4"/>
        <w:ind w:right="210"/>
        <w:rPr>
          <w:lang w:val="zh-CN"/>
        </w:rPr>
      </w:pPr>
      <w:r>
        <w:rPr>
          <w:rFonts w:hint="eastAsia"/>
          <w:lang w:val="zh-CN"/>
        </w:rPr>
        <w:t>栓钉应符合</w:t>
      </w:r>
      <w:r>
        <w:rPr>
          <w:rFonts w:hint="eastAsia"/>
        </w:rPr>
        <w:t>现行国家标准</w:t>
      </w:r>
      <w:r>
        <w:rPr>
          <w:rFonts w:hint="eastAsia"/>
          <w:lang w:val="zh-CN"/>
        </w:rPr>
        <w:t>GB/T</w:t>
      </w:r>
      <w:r>
        <w:rPr>
          <w:lang w:val="zh-CN"/>
        </w:rPr>
        <w:t xml:space="preserve"> </w:t>
      </w:r>
      <w:r>
        <w:rPr>
          <w:rFonts w:hint="eastAsia"/>
          <w:lang w:val="zh-CN"/>
        </w:rPr>
        <w:t>10433的规定。</w:t>
      </w:r>
    </w:p>
    <w:bookmarkEnd w:id="70"/>
    <w:p>
      <w:pPr>
        <w:pStyle w:val="2"/>
        <w:keepNext w:val="0"/>
        <w:keepLines w:val="0"/>
        <w:spacing w:before="240" w:after="240"/>
      </w:pPr>
      <w:bookmarkStart w:id="71" w:name="_Toc186641471"/>
      <w:bookmarkStart w:id="72" w:name="_Toc8041"/>
      <w:bookmarkStart w:id="73" w:name="_Toc185448851"/>
      <w:bookmarkStart w:id="74" w:name="_Toc185448941"/>
      <w:bookmarkStart w:id="75" w:name="_Toc14048"/>
      <w:r>
        <w:rPr>
          <w:rFonts w:hint="eastAsia"/>
        </w:rPr>
        <w:t>作用和作用组合</w:t>
      </w:r>
      <w:bookmarkEnd w:id="71"/>
      <w:bookmarkEnd w:id="72"/>
      <w:bookmarkEnd w:id="73"/>
      <w:bookmarkEnd w:id="74"/>
    </w:p>
    <w:p>
      <w:pPr>
        <w:pStyle w:val="3"/>
        <w:spacing w:before="120" w:after="120"/>
      </w:pPr>
      <w:bookmarkStart w:id="76" w:name="_Toc16159"/>
      <w:bookmarkStart w:id="77" w:name="_Toc186641472"/>
      <w:r>
        <w:rPr>
          <w:rFonts w:hint="eastAsia"/>
        </w:rPr>
        <w:t>一般规定</w:t>
      </w:r>
      <w:bookmarkEnd w:id="76"/>
      <w:bookmarkEnd w:id="77"/>
    </w:p>
    <w:p>
      <w:pPr>
        <w:pStyle w:val="4"/>
        <w:ind w:right="210"/>
      </w:pPr>
      <w:r>
        <w:rPr>
          <w:rFonts w:hint="eastAsia"/>
        </w:rPr>
        <w:t>建筑结构荷载取值应满足现行国家标准GB 55001</w:t>
      </w:r>
      <w:r>
        <w:t>、</w:t>
      </w:r>
      <w:r>
        <w:rPr>
          <w:rFonts w:hint="eastAsia"/>
        </w:rPr>
        <w:t>GB 50009、JGJ 3及其他行业标准或规范性文件的相关规定。</w:t>
      </w:r>
    </w:p>
    <w:p>
      <w:pPr>
        <w:pStyle w:val="4"/>
        <w:ind w:right="210"/>
      </w:pPr>
      <w:r>
        <w:t>钢管混凝土柱的钢管柱应进行施工验算，</w:t>
      </w:r>
      <w:r>
        <w:rPr>
          <w:rFonts w:hint="eastAsia"/>
        </w:rPr>
        <w:t>在浇筑混凝土前，其轴心应力不宜大于钢管抗压强度设计值的60%，并</w:t>
      </w:r>
      <w:r>
        <w:t>应满足稳定性要求。</w:t>
      </w:r>
    </w:p>
    <w:p>
      <w:pPr>
        <w:pStyle w:val="4"/>
        <w:ind w:right="210"/>
      </w:pPr>
      <w:r>
        <w:rPr>
          <w:rFonts w:hint="eastAsia"/>
        </w:rPr>
        <w:t>施工中采用附墙塔、爬塔等对结构受力有影响的起重机械或其他施工设备时，应根据具体情况确定对结构产生的施工荷载。施工过程对主体结构的受力和变形有较大影响时，应进行施工阶段验算。</w:t>
      </w:r>
    </w:p>
    <w:p>
      <w:pPr>
        <w:pStyle w:val="4"/>
        <w:ind w:right="210"/>
      </w:pPr>
      <w:r>
        <w:rPr>
          <w:rFonts w:hint="eastAsia"/>
        </w:rPr>
        <w:t>预制构件在翻转、运输、吊运、安装等短暂设计状况下的施工验算，应将构件自重标准值乘以动力系数后作为等效静力荷载标准值。</w:t>
      </w:r>
    </w:p>
    <w:p>
      <w:pPr>
        <w:pStyle w:val="4"/>
        <w:ind w:right="210"/>
        <w:rPr>
          <w:u w:val="single"/>
        </w:rPr>
      </w:pPr>
      <w:r>
        <w:rPr>
          <w:rFonts w:hint="eastAsia"/>
        </w:rPr>
        <w:t>钢结构构件应考虑施工方法对结构的内力和变形的影响并进行相应分析，并应对施工阶段结构的强度、稳定性和刚度进行验算。</w:t>
      </w:r>
    </w:p>
    <w:p>
      <w:pPr>
        <w:pStyle w:val="3"/>
        <w:spacing w:before="120" w:after="120"/>
      </w:pPr>
      <w:bookmarkStart w:id="78" w:name="_Toc186641473"/>
      <w:bookmarkStart w:id="79" w:name="_Toc16942"/>
      <w:r>
        <w:t>永久作用</w:t>
      </w:r>
      <w:bookmarkEnd w:id="78"/>
      <w:bookmarkEnd w:id="79"/>
    </w:p>
    <w:p>
      <w:pPr>
        <w:pStyle w:val="4"/>
        <w:ind w:right="210"/>
      </w:pPr>
      <w:r>
        <w:t>结构自重的标准值应按结构构件的设计尺寸与材料密度计算确定。对于自重变异较大的材料和构件，对结构不利时自重标准值取上限值，对结构有利时取下限值。</w:t>
      </w:r>
    </w:p>
    <w:p>
      <w:pPr>
        <w:pStyle w:val="4"/>
        <w:keepNext w:val="0"/>
        <w:ind w:right="210"/>
      </w:pPr>
      <w:r>
        <w:rPr>
          <w:rFonts w:hint="eastAsia"/>
        </w:rPr>
        <w:t>位置固定的永久设备自重应采用设备铭牌重量值；当无铭牌重量时，应按实际重量计算</w:t>
      </w:r>
      <w:r>
        <w:t>。</w:t>
      </w:r>
    </w:p>
    <w:p>
      <w:pPr>
        <w:pStyle w:val="4"/>
        <w:keepNext w:val="0"/>
        <w:ind w:right="210"/>
      </w:pPr>
      <w:r>
        <w:rPr>
          <w:rFonts w:hint="eastAsia"/>
          <w:bCs w:val="0"/>
        </w:rPr>
        <w:t>隔墙自重作为永久作用时，应符合位置固定的要求；位置可灵活布置的轻质隔墙自重应按可变荷载考虑</w:t>
      </w:r>
      <w:r>
        <w:t>。</w:t>
      </w:r>
    </w:p>
    <w:p>
      <w:pPr>
        <w:pStyle w:val="4"/>
        <w:keepNext w:val="0"/>
        <w:ind w:right="210"/>
      </w:pPr>
      <w:r>
        <w:rPr>
          <w:rFonts w:hint="eastAsia"/>
        </w:rPr>
        <w:t>土压力应按设计埋深与土的单位体积自重计算确定。土的单位体积自重应根据计算水位分别取不同密度进行计算。</w:t>
      </w:r>
    </w:p>
    <w:p>
      <w:pPr>
        <w:pStyle w:val="3"/>
        <w:spacing w:before="120" w:after="120"/>
      </w:pPr>
      <w:bookmarkStart w:id="80" w:name="_Toc23133"/>
      <w:bookmarkStart w:id="81" w:name="_Toc186641474"/>
      <w:r>
        <w:rPr>
          <w:rFonts w:hint="eastAsia"/>
        </w:rPr>
        <w:t>楼面和屋面活荷载</w:t>
      </w:r>
      <w:bookmarkEnd w:id="80"/>
      <w:bookmarkEnd w:id="81"/>
    </w:p>
    <w:p>
      <w:pPr>
        <w:pStyle w:val="4"/>
        <w:ind w:right="210"/>
      </w:pPr>
      <w:r>
        <w:rPr>
          <w:rFonts w:hint="eastAsia"/>
        </w:rPr>
        <w:t>采用等效均布活荷载</w:t>
      </w:r>
      <w:r>
        <w:t>方法</w:t>
      </w:r>
      <w:r>
        <w:rPr>
          <w:rFonts w:hint="eastAsia"/>
        </w:rPr>
        <w:t>进</w:t>
      </w:r>
      <w:r>
        <w:t>行</w:t>
      </w:r>
      <w:r>
        <w:rPr>
          <w:rFonts w:hint="eastAsia"/>
        </w:rPr>
        <w:t>设计时</w:t>
      </w:r>
      <w:r>
        <w:t>，</w:t>
      </w:r>
      <w:r>
        <w:rPr>
          <w:rFonts w:hint="eastAsia"/>
        </w:rPr>
        <w:t>应</w:t>
      </w:r>
      <w:r>
        <w:t>保</w:t>
      </w:r>
      <w:r>
        <w:rPr>
          <w:rFonts w:hint="eastAsia"/>
        </w:rPr>
        <w:t>证</w:t>
      </w:r>
      <w:r>
        <w:t>其</w:t>
      </w:r>
      <w:r>
        <w:rPr>
          <w:rFonts w:hint="eastAsia"/>
        </w:rPr>
        <w:t>产</w:t>
      </w:r>
      <w:r>
        <w:t>生的</w:t>
      </w:r>
      <w:r>
        <w:rPr>
          <w:rFonts w:hint="eastAsia"/>
        </w:rPr>
        <w:t>荷载</w:t>
      </w:r>
      <w:r>
        <w:t>效</w:t>
      </w:r>
      <w:r>
        <w:rPr>
          <w:rFonts w:hint="eastAsia"/>
        </w:rPr>
        <w:t>应</w:t>
      </w:r>
      <w:r>
        <w:t>与最不利堆放情况等效；建筑楼面和屋面堆放物</w:t>
      </w:r>
      <w:r>
        <w:rPr>
          <w:rFonts w:hint="eastAsia"/>
        </w:rPr>
        <w:t>较</w:t>
      </w:r>
      <w:r>
        <w:t>多或</w:t>
      </w:r>
      <w:r>
        <w:rPr>
          <w:rFonts w:hint="eastAsia"/>
        </w:rPr>
        <w:t>较</w:t>
      </w:r>
      <w:r>
        <w:t>重的区域，</w:t>
      </w:r>
      <w:r>
        <w:rPr>
          <w:rFonts w:hint="eastAsia"/>
        </w:rPr>
        <w:t>应</w:t>
      </w:r>
      <w:r>
        <w:t>按</w:t>
      </w:r>
      <w:r>
        <w:rPr>
          <w:rFonts w:hint="eastAsia"/>
        </w:rPr>
        <w:t>实际</w:t>
      </w:r>
      <w:r>
        <w:t>情况</w:t>
      </w:r>
      <w:r>
        <w:rPr>
          <w:rFonts w:hint="eastAsia"/>
        </w:rPr>
        <w:t>考虑</w:t>
      </w:r>
      <w:r>
        <w:t>其荷</w:t>
      </w:r>
      <w:r>
        <w:rPr>
          <w:rFonts w:hint="eastAsia"/>
        </w:rPr>
        <w:t>载。</w:t>
      </w:r>
    </w:p>
    <w:p>
      <w:pPr>
        <w:pStyle w:val="4"/>
        <w:ind w:right="210"/>
        <w:rPr>
          <w:bCs w:val="0"/>
        </w:rPr>
      </w:pPr>
      <w:r>
        <w:rPr>
          <w:rFonts w:hint="eastAsia"/>
          <w:bCs w:val="0"/>
        </w:rPr>
        <w:t>一般使用条件下的民用建筑楼面均布活荷载标</w:t>
      </w:r>
      <w:r>
        <w:rPr>
          <w:bCs w:val="0"/>
        </w:rPr>
        <w:t>准</w:t>
      </w:r>
      <w:r>
        <w:rPr>
          <w:rFonts w:hint="eastAsia"/>
          <w:bCs w:val="0"/>
        </w:rPr>
        <w:t>值</w:t>
      </w:r>
      <w:r>
        <w:rPr>
          <w:bCs w:val="0"/>
        </w:rPr>
        <w:t>及其</w:t>
      </w:r>
      <w:r>
        <w:rPr>
          <w:rFonts w:hint="eastAsia"/>
          <w:bCs w:val="0"/>
        </w:rPr>
        <w:t>组</w:t>
      </w:r>
      <w:r>
        <w:rPr>
          <w:bCs w:val="0"/>
        </w:rPr>
        <w:t>合</w:t>
      </w:r>
      <w:r>
        <w:rPr>
          <w:rFonts w:hint="eastAsia"/>
          <w:bCs w:val="0"/>
        </w:rPr>
        <w:t>值</w:t>
      </w:r>
      <w:r>
        <w:rPr>
          <w:bCs w:val="0"/>
        </w:rPr>
        <w:t>系数、</w:t>
      </w:r>
      <w:r>
        <w:rPr>
          <w:rFonts w:hint="eastAsia"/>
          <w:bCs w:val="0"/>
        </w:rPr>
        <w:t>频</w:t>
      </w:r>
      <w:r>
        <w:rPr>
          <w:bCs w:val="0"/>
        </w:rPr>
        <w:t>遇</w:t>
      </w:r>
      <w:r>
        <w:rPr>
          <w:rFonts w:hint="eastAsia"/>
          <w:bCs w:val="0"/>
        </w:rPr>
        <w:t>值</w:t>
      </w:r>
      <w:r>
        <w:rPr>
          <w:bCs w:val="0"/>
        </w:rPr>
        <w:t>系数和准永久</w:t>
      </w:r>
      <w:r>
        <w:rPr>
          <w:rFonts w:hint="eastAsia"/>
          <w:bCs w:val="0"/>
        </w:rPr>
        <w:t>值</w:t>
      </w:r>
      <w:r>
        <w:rPr>
          <w:bCs w:val="0"/>
        </w:rPr>
        <w:t>系数的取</w:t>
      </w:r>
      <w:r>
        <w:rPr>
          <w:rFonts w:hint="eastAsia"/>
          <w:bCs w:val="0"/>
        </w:rPr>
        <w:t>值</w:t>
      </w:r>
      <w:r>
        <w:rPr>
          <w:bCs w:val="0"/>
        </w:rPr>
        <w:t>，不</w:t>
      </w:r>
      <w:r>
        <w:rPr>
          <w:rFonts w:hint="eastAsia"/>
          <w:bCs w:val="0"/>
        </w:rPr>
        <w:t>应</w:t>
      </w:r>
      <w:r>
        <w:rPr>
          <w:bCs w:val="0"/>
        </w:rPr>
        <w:t>小于</w:t>
      </w:r>
      <w:r>
        <w:rPr>
          <w:rFonts w:hint="eastAsia"/>
        </w:rPr>
        <w:t>现行国家标准G</w:t>
      </w:r>
      <w:r>
        <w:t>B 55001</w:t>
      </w:r>
      <w:r>
        <w:rPr>
          <w:rFonts w:hint="eastAsia"/>
          <w:bCs w:val="0"/>
        </w:rPr>
        <w:t>的规</w:t>
      </w:r>
      <w:r>
        <w:rPr>
          <w:bCs w:val="0"/>
        </w:rPr>
        <w:t>定</w:t>
      </w:r>
      <w:r>
        <w:rPr>
          <w:rFonts w:hint="eastAsia"/>
          <w:bCs w:val="0"/>
        </w:rPr>
        <w:t>。当使用荷载较</w:t>
      </w:r>
      <w:r>
        <w:rPr>
          <w:bCs w:val="0"/>
        </w:rPr>
        <w:t>大、</w:t>
      </w:r>
      <w:r>
        <w:rPr>
          <w:rFonts w:hint="eastAsia"/>
          <w:bCs w:val="0"/>
        </w:rPr>
        <w:t>情况特殊或有专门</w:t>
      </w:r>
      <w:r>
        <w:rPr>
          <w:bCs w:val="0"/>
        </w:rPr>
        <w:t>要求</w:t>
      </w:r>
      <w:r>
        <w:rPr>
          <w:rFonts w:hint="eastAsia"/>
          <w:bCs w:val="0"/>
        </w:rPr>
        <w:t>时</w:t>
      </w:r>
      <w:r>
        <w:rPr>
          <w:bCs w:val="0"/>
        </w:rPr>
        <w:t>，</w:t>
      </w:r>
      <w:r>
        <w:rPr>
          <w:rFonts w:hint="eastAsia"/>
          <w:bCs w:val="0"/>
        </w:rPr>
        <w:t>应按实际</w:t>
      </w:r>
      <w:r>
        <w:rPr>
          <w:bCs w:val="0"/>
        </w:rPr>
        <w:t>情况采用</w:t>
      </w:r>
      <w:r>
        <w:rPr>
          <w:rFonts w:hint="eastAsia"/>
          <w:bCs w:val="0"/>
        </w:rPr>
        <w:t>。</w:t>
      </w:r>
    </w:p>
    <w:p>
      <w:pPr>
        <w:pStyle w:val="4"/>
        <w:ind w:right="210"/>
      </w:pPr>
      <w:r>
        <w:rPr>
          <w:rFonts w:hint="eastAsia"/>
        </w:rPr>
        <w:t>地下室顶板施工活荷载标准值应据实计算，且不应小于5k</w:t>
      </w:r>
      <w:r>
        <w:t>N</w:t>
      </w:r>
      <w:r>
        <w:rPr>
          <w:rFonts w:hint="eastAsia"/>
        </w:rPr>
        <w:t>/m</w:t>
      </w:r>
      <w:r>
        <w:rPr>
          <w:vertAlign w:val="superscript"/>
        </w:rPr>
        <w:t>2</w:t>
      </w:r>
      <w:r>
        <w:rPr>
          <w:rFonts w:hint="eastAsia"/>
        </w:rPr>
        <w:t>；</w:t>
      </w:r>
      <w:r>
        <w:t>当有临时堆积荷载以及有重型车辆通过时，施工组织设计中应按实际荷载验算并采取相应措施。将动力荷载简化为静力作用施加于楼面和梁时，应将活荷载乘以动力系数，动力系数</w:t>
      </w:r>
      <w:r>
        <w:rPr>
          <w:rFonts w:hint="eastAsia"/>
        </w:rPr>
        <w:t>不应小于1</w:t>
      </w:r>
      <w:r>
        <w:t>.1。</w:t>
      </w:r>
    </w:p>
    <w:p>
      <w:pPr>
        <w:pStyle w:val="3"/>
        <w:keepNext w:val="0"/>
        <w:spacing w:before="120" w:after="120"/>
      </w:pPr>
      <w:bookmarkStart w:id="82" w:name="_Toc5612"/>
      <w:bookmarkStart w:id="83" w:name="_Toc186641475"/>
      <w:r>
        <w:rPr>
          <w:rFonts w:hint="eastAsia"/>
        </w:rPr>
        <w:t>风荷载</w:t>
      </w:r>
      <w:bookmarkEnd w:id="82"/>
      <w:bookmarkEnd w:id="83"/>
    </w:p>
    <w:p>
      <w:pPr>
        <w:pStyle w:val="4"/>
        <w:keepNext w:val="0"/>
        <w:ind w:right="210"/>
      </w:pPr>
      <w:r>
        <w:rPr>
          <w:rFonts w:hint="eastAsia"/>
        </w:rPr>
        <w:t>垂直于建筑物表面上的风荷载标准值，应在基本风压、风压高度变化系数、风荷载体型系数、地形修正系数和风向影响系数的乘积基础上，考虑风荷载脉动的增大效应加以确定。</w:t>
      </w:r>
    </w:p>
    <w:p>
      <w:pPr>
        <w:pStyle w:val="4"/>
        <w:keepNext w:val="0"/>
        <w:ind w:right="210"/>
      </w:pPr>
      <w:r>
        <w:rPr>
          <w:rFonts w:hint="eastAsia"/>
        </w:rPr>
        <w:t>对风荷载比较敏感的高层建筑，承载力设计时应按基本风压的</w:t>
      </w:r>
      <w:r>
        <w:t>1.1</w:t>
      </w:r>
      <w:r>
        <w:rPr>
          <w:rFonts w:hint="eastAsia"/>
        </w:rPr>
        <w:t>倍采用。</w:t>
      </w:r>
    </w:p>
    <w:p>
      <w:pPr>
        <w:pStyle w:val="4"/>
        <w:keepNext w:val="0"/>
        <w:ind w:right="210"/>
      </w:pPr>
      <w:r>
        <w:rPr>
          <w:rFonts w:hint="eastAsia"/>
        </w:rPr>
        <w:t>当多栋或群集的高层建筑相互间距较近时，宜考虑风力相互干扰的群体效应。必要时宜通过风洞试验确定。</w:t>
      </w:r>
    </w:p>
    <w:p>
      <w:pPr>
        <w:pStyle w:val="4"/>
        <w:keepNext w:val="0"/>
        <w:ind w:right="210"/>
      </w:pPr>
      <w:r>
        <w:rPr>
          <w:rFonts w:hint="eastAsia"/>
        </w:rPr>
        <w:t>横风向振动效应或扭转风振效应明显的高层建筑，应考虑横风向风振或扭转风振的影响。横风向风振或扭转风振的计算范围、方法以及顺风向与横风向效应的组合方法应符合现行国家标准GB 50009 的有关规定。</w:t>
      </w:r>
    </w:p>
    <w:p>
      <w:pPr>
        <w:pStyle w:val="4"/>
        <w:ind w:right="210"/>
      </w:pPr>
      <w:r>
        <w:rPr>
          <w:rFonts w:hint="eastAsia"/>
        </w:rPr>
        <w:t>檐口、雨蓬、遮阳板、阳台等水平构件，计算局部向上风荷载时应满足现行国家标准GB 50009的要求，风荷载体型系数</w:t>
      </w:r>
      <w:r>
        <w:rPr>
          <w:rFonts w:cs="Times New Roman"/>
          <w:i/>
        </w:rPr>
        <w:t>μ</w:t>
      </w:r>
      <w:r>
        <w:rPr>
          <w:rFonts w:hint="eastAsia"/>
          <w:vertAlign w:val="subscript"/>
        </w:rPr>
        <w:t>s</w:t>
      </w:r>
      <w:r>
        <w:rPr>
          <w:rFonts w:hint="eastAsia"/>
        </w:rPr>
        <w:t>不宜小于2</w:t>
      </w:r>
      <w:r>
        <w:t>.0，计算局部向下风荷载时，风荷载体型系数</w:t>
      </w:r>
      <w:r>
        <w:rPr>
          <w:rFonts w:cs="Times New Roman"/>
          <w:i/>
        </w:rPr>
        <w:t>μ</w:t>
      </w:r>
      <w:r>
        <w:rPr>
          <w:rFonts w:hint="eastAsia"/>
          <w:vertAlign w:val="subscript"/>
        </w:rPr>
        <w:t>s</w:t>
      </w:r>
      <w:r>
        <w:rPr>
          <w:rFonts w:hint="eastAsia"/>
        </w:rPr>
        <w:t>不宜小于1</w:t>
      </w:r>
      <w:r>
        <w:t>.0</w:t>
      </w:r>
      <w:r>
        <w:rPr>
          <w:rFonts w:hint="eastAsia"/>
        </w:rPr>
        <w:t>。</w:t>
      </w:r>
    </w:p>
    <w:p>
      <w:pPr>
        <w:pStyle w:val="3"/>
        <w:spacing w:before="120" w:after="120"/>
      </w:pPr>
      <w:bookmarkStart w:id="84" w:name="_Toc186641476"/>
      <w:bookmarkStart w:id="85" w:name="_Toc24157"/>
      <w:r>
        <w:t>地震作用</w:t>
      </w:r>
      <w:bookmarkEnd w:id="84"/>
      <w:bookmarkEnd w:id="85"/>
    </w:p>
    <w:p>
      <w:pPr>
        <w:pStyle w:val="4"/>
        <w:ind w:right="210"/>
      </w:pPr>
      <w:r>
        <w:rPr>
          <w:rFonts w:hint="eastAsia"/>
        </w:rPr>
        <w:t>建筑的抗震设防类别和抗震设防标准应按现行国家标准GB 50223的规定采用，地震作用应按现行国家标准GB</w:t>
      </w:r>
      <w:r>
        <w:t xml:space="preserve">/T </w:t>
      </w:r>
      <w:r>
        <w:rPr>
          <w:rFonts w:hint="eastAsia"/>
        </w:rPr>
        <w:t>50011或J</w:t>
      </w:r>
      <w:r>
        <w:t>GJ 3</w:t>
      </w:r>
      <w:r>
        <w:rPr>
          <w:rFonts w:hint="eastAsia"/>
        </w:rPr>
        <w:t>的规定计算。</w:t>
      </w:r>
    </w:p>
    <w:p>
      <w:pPr>
        <w:pStyle w:val="4"/>
        <w:ind w:right="210"/>
      </w:pPr>
      <w:r>
        <w:t>计算地震作用时，建筑结构的重力荷载代表值应取永久荷载标准值和可变荷载组合值之和。可变荷载组合值系数应按</w:t>
      </w:r>
      <w:r>
        <w:rPr>
          <w:rFonts w:hint="eastAsia"/>
        </w:rPr>
        <w:t>现行</w:t>
      </w:r>
      <w:r>
        <w:t>有关标准的规定采</w:t>
      </w:r>
      <w:r>
        <w:rPr>
          <w:rFonts w:hint="eastAsia"/>
        </w:rPr>
        <w:t>用。</w:t>
      </w:r>
    </w:p>
    <w:p>
      <w:pPr>
        <w:pStyle w:val="4"/>
        <w:ind w:right="210"/>
      </w:pPr>
      <w:r>
        <w:t>建筑结构的地震影响系数，应根据烈度、场地类别、设计地震分组和结构自振周期及阻尼比确定。</w:t>
      </w:r>
    </w:p>
    <w:p>
      <w:pPr>
        <w:pStyle w:val="4"/>
        <w:keepNext w:val="0"/>
        <w:keepLines w:val="0"/>
        <w:ind w:right="210"/>
        <w:rPr>
          <w:rFonts w:cs="Times New Roman"/>
        </w:rPr>
      </w:pPr>
      <w:r>
        <w:rPr>
          <w:rFonts w:hint="eastAsia" w:cs="Times New Roman"/>
        </w:rPr>
        <w:t>各类建筑地震作用计算时，设计地震动参数应根据设防烈度按</w:t>
      </w:r>
      <w:r>
        <w:rPr>
          <w:rFonts w:hint="eastAsia"/>
        </w:rPr>
        <w:t>现行国家标准</w:t>
      </w:r>
      <w:r>
        <w:rPr>
          <w:rFonts w:cs="Times New Roman"/>
        </w:rPr>
        <w:t>GB 55002的相关规定确定，并按下列规定进行调整：</w:t>
      </w:r>
    </w:p>
    <w:p>
      <w:pPr>
        <w:pStyle w:val="4"/>
        <w:numPr>
          <w:ilvl w:val="0"/>
          <w:numId w:val="15"/>
        </w:numPr>
        <w:ind w:left="0" w:rightChars="0" w:firstLine="420" w:firstLineChars="200"/>
      </w:pPr>
      <w:r>
        <w:t>当工程结构处于发震断裂两侧10km以内时，地震影响系数最大值αmax应按</w:t>
      </w:r>
      <w:r>
        <w:rPr>
          <w:rFonts w:hint="eastAsia"/>
        </w:rPr>
        <w:t>现行国家标准</w:t>
      </w:r>
      <w:r>
        <w:t>GB 55002规范要求考虑近场效应对设计地震动参数的影响。</w:t>
      </w:r>
    </w:p>
    <w:p>
      <w:pPr>
        <w:pStyle w:val="4"/>
        <w:numPr>
          <w:ilvl w:val="0"/>
          <w:numId w:val="15"/>
        </w:numPr>
        <w:ind w:left="0" w:rightChars="0" w:firstLine="420" w:firstLineChars="200"/>
      </w:pPr>
      <w:r>
        <w:t>当</w:t>
      </w:r>
      <w:r>
        <w:rPr>
          <w:rFonts w:hint="eastAsia"/>
        </w:rPr>
        <w:t>需要</w:t>
      </w:r>
      <w:r>
        <w:t>在条状突出的山嘴、高耸孤立的山丘、非岩石和强风化岩石的陡坡、河岸与边坡边缘等不利地段时，应考虑不利地段对水平设计地震参数的放大作用。放大系数应根据不利地段的具体情况确定，其数值不得小于1. 1，不大于1. 6。</w:t>
      </w:r>
    </w:p>
    <w:p>
      <w:pPr>
        <w:pStyle w:val="4"/>
        <w:keepNext w:val="0"/>
        <w:keepLines w:val="0"/>
        <w:ind w:right="210"/>
        <w:rPr>
          <w:rFonts w:cs="Times New Roman"/>
        </w:rPr>
      </w:pPr>
      <w:r>
        <w:rPr>
          <w:rFonts w:cs="Times New Roman"/>
        </w:rPr>
        <w:t>当场地内存在发震断裂时，应对断裂的工程影响进行评价，并满足</w:t>
      </w:r>
      <w:r>
        <w:rPr>
          <w:rFonts w:hint="eastAsia"/>
        </w:rPr>
        <w:t>现行国家标准GB</w:t>
      </w:r>
      <w:r>
        <w:t xml:space="preserve">/T </w:t>
      </w:r>
      <w:r>
        <w:rPr>
          <w:rFonts w:hint="eastAsia"/>
        </w:rPr>
        <w:t>50011</w:t>
      </w:r>
      <w:r>
        <w:rPr>
          <w:rFonts w:cs="Times New Roman"/>
        </w:rPr>
        <w:t>的相关要求。</w:t>
      </w:r>
    </w:p>
    <w:p>
      <w:pPr>
        <w:pStyle w:val="3"/>
        <w:keepNext w:val="0"/>
        <w:keepLines w:val="0"/>
        <w:spacing w:before="120" w:after="120"/>
      </w:pPr>
      <w:bookmarkStart w:id="86" w:name="_Toc15708"/>
      <w:bookmarkStart w:id="87" w:name="_Toc186641477"/>
      <w:r>
        <w:t>温度作用</w:t>
      </w:r>
      <w:bookmarkEnd w:id="86"/>
      <w:bookmarkEnd w:id="87"/>
    </w:p>
    <w:p>
      <w:pPr>
        <w:pStyle w:val="4"/>
        <w:keepNext w:val="0"/>
        <w:keepLines w:val="0"/>
        <w:ind w:right="210"/>
      </w:pPr>
      <w:r>
        <w:rPr>
          <w:rFonts w:hint="eastAsia"/>
        </w:rPr>
        <w:t>温度作用应考虑气温变化、太阳辐射及使用热源等因素，作用在结构或构件上的温度作用应采用其温度的变化来表示。当考虑温度变化的影响时，温度的变化范围可根据地点、环境、结构类型及使用功能等实际情况确定。</w:t>
      </w:r>
    </w:p>
    <w:p>
      <w:pPr>
        <w:pStyle w:val="4"/>
        <w:keepNext w:val="0"/>
        <w:keepLines w:val="0"/>
        <w:ind w:right="210"/>
      </w:pPr>
      <w:r>
        <w:rPr>
          <w:rFonts w:hint="eastAsia"/>
        </w:rPr>
        <w:t>对结构伸缩缝设置间距超过现行国家标准GB/T 5</w:t>
      </w:r>
      <w:r>
        <w:t>0010</w:t>
      </w:r>
      <w:r>
        <w:rPr>
          <w:rFonts w:hint="eastAsia"/>
        </w:rPr>
        <w:t>规定时，应考虑温度作用对结构的影响。</w:t>
      </w:r>
    </w:p>
    <w:p>
      <w:pPr>
        <w:pStyle w:val="4"/>
        <w:keepNext w:val="0"/>
        <w:keepLines w:val="0"/>
        <w:ind w:right="210"/>
      </w:pPr>
      <w:r>
        <w:rPr>
          <w:rFonts w:hint="eastAsia"/>
        </w:rPr>
        <w:t>基本气温应采用5</w:t>
      </w:r>
      <w:r>
        <w:t>0年重现期的月平均最高</w:t>
      </w:r>
      <w:r>
        <w:rPr>
          <w:rFonts w:hint="eastAsia"/>
        </w:rPr>
        <w:t>气温</w:t>
      </w:r>
      <w:r>
        <w:t>和月平均最低气温。对于金属结构等对气温变化</w:t>
      </w:r>
      <w:r>
        <w:rPr>
          <w:rFonts w:hint="eastAsia"/>
        </w:rPr>
        <w:t>敏感</w:t>
      </w:r>
      <w:r>
        <w:t>的结构，应适当增加或降低基本气温。</w:t>
      </w:r>
    </w:p>
    <w:p>
      <w:pPr>
        <w:pStyle w:val="4"/>
        <w:keepNext w:val="0"/>
        <w:keepLines w:val="0"/>
        <w:ind w:right="210"/>
      </w:pPr>
      <w:r>
        <w:rPr>
          <w:rFonts w:hint="eastAsia"/>
        </w:rPr>
        <w:t>结构</w:t>
      </w:r>
      <w:r>
        <w:t>最高</w:t>
      </w:r>
      <w:r>
        <w:rPr>
          <w:rFonts w:hint="eastAsia"/>
        </w:rPr>
        <w:t>初始</w:t>
      </w:r>
      <w:r>
        <w:t>平均温度和最低初始平均温度应根据结构的合拢或形成约束时的温度确定，或根据施工时结构可能出现的温度按不利情况确</w:t>
      </w:r>
      <w:r>
        <w:rPr>
          <w:rFonts w:hint="eastAsia"/>
        </w:rPr>
        <w:t>定</w:t>
      </w:r>
      <w:r>
        <w:t>。</w:t>
      </w:r>
    </w:p>
    <w:p>
      <w:pPr>
        <w:pStyle w:val="3"/>
        <w:spacing w:before="120" w:after="120"/>
      </w:pPr>
      <w:bookmarkStart w:id="88" w:name="_Toc14932"/>
      <w:bookmarkStart w:id="89" w:name="_Toc186641478"/>
      <w:r>
        <w:t>作用组合</w:t>
      </w:r>
      <w:bookmarkEnd w:id="88"/>
      <w:bookmarkEnd w:id="89"/>
      <w:r>
        <w:rPr>
          <w:rFonts w:hint="eastAsia"/>
        </w:rPr>
        <w:t xml:space="preserve"> </w:t>
      </w:r>
    </w:p>
    <w:p>
      <w:pPr>
        <w:pStyle w:val="4"/>
        <w:ind w:right="210"/>
      </w:pPr>
      <w:r>
        <w:t>结构上的荷载和作用，</w:t>
      </w:r>
      <w:r>
        <w:rPr>
          <w:rFonts w:hint="eastAsia"/>
        </w:rPr>
        <w:t>应</w:t>
      </w:r>
      <w:r>
        <w:t>根据其时间变化特性进行相应作用组合</w:t>
      </w:r>
      <w:r>
        <w:rPr>
          <w:rFonts w:hint="eastAsia"/>
        </w:rPr>
        <w:t>。作用</w:t>
      </w:r>
      <w:r>
        <w:t>组合过程中</w:t>
      </w:r>
      <w:r>
        <w:rPr>
          <w:rFonts w:hint="eastAsia"/>
        </w:rPr>
        <w:t>应综合考虑</w:t>
      </w:r>
      <w:r>
        <w:t>设计工作年限、设计基准期和保证率。</w:t>
      </w:r>
    </w:p>
    <w:p>
      <w:pPr>
        <w:pStyle w:val="4"/>
        <w:keepNext w:val="0"/>
        <w:keepLines w:val="0"/>
        <w:ind w:right="210"/>
      </w:pPr>
      <w:r>
        <w:rPr>
          <w:rFonts w:hint="eastAsia"/>
        </w:rPr>
        <w:t>无地震作用的荷载效应组合应按现行国家标准G</w:t>
      </w:r>
      <w:r>
        <w:t>B 55001或</w:t>
      </w:r>
      <w:r>
        <w:rPr>
          <w:rFonts w:hint="eastAsia"/>
        </w:rPr>
        <w:t>GB 50009的规定执行；有地震作用的荷载效应组合应按现行国家标准G</w:t>
      </w:r>
      <w:r>
        <w:t>B 55002或</w:t>
      </w:r>
      <w:r>
        <w:rPr>
          <w:rFonts w:hint="eastAsia"/>
        </w:rPr>
        <w:t>GB/T 50011的规定执行。</w:t>
      </w:r>
    </w:p>
    <w:p>
      <w:pPr>
        <w:pStyle w:val="2"/>
        <w:keepNext w:val="0"/>
        <w:keepLines w:val="0"/>
        <w:spacing w:before="240" w:after="240"/>
      </w:pPr>
      <w:bookmarkStart w:id="90" w:name="_Toc185448942"/>
      <w:bookmarkStart w:id="91" w:name="_Toc27842"/>
      <w:bookmarkStart w:id="92" w:name="_Toc185448852"/>
      <w:bookmarkStart w:id="93" w:name="_Toc186641479"/>
      <w:r>
        <w:rPr>
          <w:rFonts w:hint="eastAsia"/>
        </w:rPr>
        <w:t>结构分析</w:t>
      </w:r>
      <w:bookmarkEnd w:id="90"/>
      <w:bookmarkEnd w:id="91"/>
      <w:bookmarkEnd w:id="92"/>
      <w:bookmarkEnd w:id="93"/>
    </w:p>
    <w:p>
      <w:pPr>
        <w:pStyle w:val="3"/>
        <w:spacing w:before="120" w:after="120"/>
      </w:pPr>
      <w:bookmarkStart w:id="94" w:name="_Toc186641480"/>
      <w:bookmarkStart w:id="95" w:name="_Toc13291"/>
      <w:r>
        <w:t>一般规定</w:t>
      </w:r>
      <w:bookmarkEnd w:id="94"/>
      <w:bookmarkEnd w:id="95"/>
    </w:p>
    <w:p>
      <w:pPr>
        <w:pStyle w:val="4"/>
        <w:ind w:right="210"/>
      </w:pPr>
      <w:r>
        <w:rPr>
          <w:rFonts w:hint="eastAsia"/>
        </w:rPr>
        <w:t>采用装配式混合框架结构的多、高层建筑在静力荷载、风荷载、温度和地震作用下的内力和位移等计算，应符合国家现行标准的有关规定。</w:t>
      </w:r>
    </w:p>
    <w:p>
      <w:pPr>
        <w:pStyle w:val="4"/>
        <w:ind w:right="210"/>
      </w:pPr>
      <w:r>
        <w:rPr>
          <w:rFonts w:hint="eastAsia"/>
        </w:rPr>
        <w:t>装配式混合框架结构应进行整体作用效应分析，必要时尚应对结构中受力状态复杂部位进行专项分析。</w:t>
      </w:r>
    </w:p>
    <w:p>
      <w:pPr>
        <w:pStyle w:val="4"/>
        <w:ind w:right="210"/>
      </w:pPr>
      <w:r>
        <w:rPr>
          <w:rFonts w:hint="eastAsia"/>
        </w:rPr>
        <w:t>当结构在施工和使用期的不同阶段有多种受力状况时，应分别进行结构分析，并确定其最不利的作用组合。</w:t>
      </w:r>
    </w:p>
    <w:p>
      <w:pPr>
        <w:pStyle w:val="4"/>
        <w:ind w:right="210"/>
      </w:pPr>
      <w:r>
        <w:rPr>
          <w:rFonts w:hint="eastAsia"/>
        </w:rPr>
        <w:t>装配式混合框架结构构件应按承载能力极限状态和正常使用极限状态进行设计。</w:t>
      </w:r>
    </w:p>
    <w:p>
      <w:pPr>
        <w:pStyle w:val="4"/>
        <w:ind w:right="210"/>
      </w:pPr>
      <w:r>
        <w:rPr>
          <w:rFonts w:hint="eastAsia"/>
        </w:rPr>
        <w:t>结构分析应符合下列要求：</w:t>
      </w:r>
    </w:p>
    <w:p>
      <w:pPr>
        <w:numPr>
          <w:ilvl w:val="0"/>
          <w:numId w:val="16"/>
        </w:numPr>
        <w:ind w:left="0" w:firstLine="420"/>
      </w:pPr>
      <w:r>
        <w:rPr>
          <w:rFonts w:hint="eastAsia"/>
        </w:rPr>
        <w:t>满足力学平衡条件。</w:t>
      </w:r>
    </w:p>
    <w:p>
      <w:pPr>
        <w:numPr>
          <w:ilvl w:val="0"/>
          <w:numId w:val="16"/>
        </w:numPr>
        <w:ind w:left="0" w:firstLine="420"/>
      </w:pPr>
      <w:r>
        <w:rPr>
          <w:rFonts w:hint="eastAsia"/>
        </w:rPr>
        <w:t>符合变形协调条件，包括节点和边界的约束条件。</w:t>
      </w:r>
    </w:p>
    <w:p>
      <w:pPr>
        <w:numPr>
          <w:ilvl w:val="0"/>
          <w:numId w:val="16"/>
        </w:numPr>
        <w:ind w:left="0" w:firstLine="420"/>
        <w:rPr>
          <w:bCs/>
          <w:szCs w:val="32"/>
        </w:rPr>
      </w:pPr>
      <w:r>
        <w:rPr>
          <w:rFonts w:hint="eastAsia"/>
        </w:rPr>
        <w:t>采用合理的材料本构关系或构件单元的受力-变形关系。</w:t>
      </w:r>
    </w:p>
    <w:p>
      <w:pPr>
        <w:pStyle w:val="4"/>
        <w:ind w:right="210"/>
        <w:rPr>
          <w:color w:val="5B9BD5" w:themeColor="accent1"/>
          <w14:textFill>
            <w14:solidFill>
              <w14:schemeClr w14:val="accent1"/>
            </w14:solidFill>
          </w14:textFill>
        </w:rPr>
      </w:pPr>
      <w:r>
        <w:rPr>
          <w:rFonts w:hint="eastAsia"/>
        </w:rPr>
        <w:t>进行结构内力和变形计算时，钢-混凝土组合构件的截面刚度可按公式</w:t>
      </w:r>
      <w:r>
        <w:rPr>
          <w:rFonts w:hint="eastAsia"/>
          <w:lang w:val="zh-CN"/>
        </w:rPr>
        <w:t>（</w:t>
      </w:r>
      <w:r>
        <w:rPr>
          <w:lang w:val="zh-CN"/>
        </w:rPr>
        <w:t>1</w:t>
      </w:r>
      <w:r>
        <w:rPr>
          <w:rFonts w:hint="eastAsia"/>
          <w:lang w:val="zh-CN"/>
        </w:rPr>
        <w:t>）-（</w:t>
      </w:r>
      <w:r>
        <w:rPr>
          <w:lang w:val="zh-CN"/>
        </w:rPr>
        <w:t>3</w:t>
      </w:r>
      <w:r>
        <w:rPr>
          <w:rFonts w:hint="eastAsia"/>
          <w:lang w:val="zh-CN"/>
        </w:rPr>
        <w:t>）</w:t>
      </w:r>
      <w:r>
        <w:rPr>
          <w:rFonts w:hint="eastAsia"/>
        </w:rPr>
        <w:t>计算：</w:t>
      </w:r>
    </w:p>
    <w:tbl>
      <w:tblPr>
        <w:tblStyle w:val="34"/>
        <w:tblW w:w="95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0"/>
        <w:gridCol w:w="3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30"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25" o:spt="75" type="#_x0000_t75" style="height:15.65pt;width:76.4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tc>
        <w:tc>
          <w:tcPr>
            <w:tcW w:w="3941"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1</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30"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26" o:spt="75" type="#_x0000_t75" style="height:15.65pt;width:71.3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p>
        </w:tc>
        <w:tc>
          <w:tcPr>
            <w:tcW w:w="3941"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2</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30"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27" o:spt="75" type="#_x0000_t75" style="height:15.65pt;width:76.4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p>
        </w:tc>
        <w:tc>
          <w:tcPr>
            <w:tcW w:w="3941"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3</w:t>
            </w:r>
            <w:r>
              <w:rPr>
                <w:rFonts w:hint="eastAsia" w:cs="Times New Roman"/>
                <w:kern w:val="0"/>
                <w:sz w:val="20"/>
                <w:szCs w:val="20"/>
              </w:rPr>
              <w:t>）</w:t>
            </w:r>
          </w:p>
        </w:tc>
      </w:tr>
    </w:tbl>
    <w:p>
      <w:pPr>
        <w:ind w:firstLine="420"/>
      </w:pPr>
      <w:r>
        <w:rPr>
          <w:rFonts w:hint="eastAsia"/>
        </w:rPr>
        <w:t>式中：</w:t>
      </w:r>
      <w:r>
        <w:rPr>
          <w:rFonts w:hint="eastAsia"/>
          <w:i/>
        </w:rPr>
        <w:t>E</w:t>
      </w:r>
      <w:r>
        <w:rPr>
          <w:i/>
        </w:rPr>
        <w:t>A</w:t>
      </w:r>
      <w:r>
        <w:rPr>
          <w:rFonts w:hint="eastAsia"/>
        </w:rPr>
        <w:t>、</w:t>
      </w:r>
      <w:r>
        <w:rPr>
          <w:rFonts w:hint="eastAsia"/>
          <w:i/>
        </w:rPr>
        <w:t>E</w:t>
      </w:r>
      <w:r>
        <w:rPr>
          <w:i/>
        </w:rPr>
        <w:t>I</w:t>
      </w:r>
      <w:r>
        <w:rPr>
          <w:rFonts w:hint="eastAsia"/>
        </w:rPr>
        <w:t>、</w:t>
      </w:r>
      <w:r>
        <w:rPr>
          <w:i/>
        </w:rPr>
        <w:t>GA</w:t>
      </w:r>
      <w:r>
        <w:rPr>
          <w:rFonts w:hint="eastAsia"/>
        </w:rPr>
        <w:t>——构件截面轴向刚度、抗弯刚度、抗剪刚度；</w:t>
      </w:r>
    </w:p>
    <w:p>
      <w:pPr>
        <w:ind w:firstLine="420"/>
      </w:pPr>
      <w:r>
        <w:rPr>
          <w:rFonts w:hint="eastAsia"/>
          <w:i/>
        </w:rPr>
        <w:t>E</w:t>
      </w:r>
      <w:r>
        <w:rPr>
          <w:vertAlign w:val="subscript"/>
        </w:rPr>
        <w:t>s</w:t>
      </w:r>
      <w:r>
        <w:rPr>
          <w:i/>
        </w:rPr>
        <w:t>A</w:t>
      </w:r>
      <w:r>
        <w:rPr>
          <w:vertAlign w:val="subscript"/>
        </w:rPr>
        <w:t>s</w:t>
      </w:r>
      <w:r>
        <w:rPr>
          <w:rFonts w:hint="eastAsia"/>
        </w:rPr>
        <w:t>、</w:t>
      </w:r>
      <w:r>
        <w:rPr>
          <w:rFonts w:hint="eastAsia"/>
          <w:i/>
        </w:rPr>
        <w:t>E</w:t>
      </w:r>
      <w:r>
        <w:rPr>
          <w:vertAlign w:val="subscript"/>
        </w:rPr>
        <w:t>s</w:t>
      </w:r>
      <w:r>
        <w:rPr>
          <w:i/>
        </w:rPr>
        <w:t>I</w:t>
      </w:r>
      <w:r>
        <w:rPr>
          <w:vertAlign w:val="subscript"/>
        </w:rPr>
        <w:t>s</w:t>
      </w:r>
      <w:r>
        <w:rPr>
          <w:rFonts w:hint="eastAsia"/>
        </w:rPr>
        <w:t>、</w:t>
      </w:r>
      <w:r>
        <w:rPr>
          <w:i/>
        </w:rPr>
        <w:t>G</w:t>
      </w:r>
      <w:r>
        <w:rPr>
          <w:vertAlign w:val="subscript"/>
        </w:rPr>
        <w:t>s</w:t>
      </w:r>
      <w:r>
        <w:rPr>
          <w:i/>
        </w:rPr>
        <w:t>A</w:t>
      </w:r>
      <w:r>
        <w:rPr>
          <w:vertAlign w:val="subscript"/>
        </w:rPr>
        <w:t>s</w:t>
      </w:r>
      <w:r>
        <w:rPr>
          <w:rFonts w:hint="eastAsia"/>
        </w:rPr>
        <w:t>——型钢、钢管部分的截面轴向刚度、抗弯刚度、抗剪刚度；</w:t>
      </w:r>
    </w:p>
    <w:p>
      <w:pPr>
        <w:ind w:firstLine="420"/>
      </w:pPr>
      <w:r>
        <w:rPr>
          <w:rFonts w:hint="eastAsia"/>
          <w:i/>
        </w:rPr>
        <w:t>E</w:t>
      </w:r>
      <w:r>
        <w:rPr>
          <w:rFonts w:hint="eastAsia"/>
          <w:vertAlign w:val="subscript"/>
        </w:rPr>
        <w:t>c</w:t>
      </w:r>
      <w:r>
        <w:rPr>
          <w:i/>
        </w:rPr>
        <w:t>A</w:t>
      </w:r>
      <w:r>
        <w:rPr>
          <w:vertAlign w:val="subscript"/>
        </w:rPr>
        <w:t>c</w:t>
      </w:r>
      <w:r>
        <w:rPr>
          <w:rFonts w:hint="eastAsia"/>
        </w:rPr>
        <w:t>、</w:t>
      </w:r>
      <w:r>
        <w:rPr>
          <w:rFonts w:hint="eastAsia"/>
          <w:i/>
        </w:rPr>
        <w:t>E</w:t>
      </w:r>
      <w:r>
        <w:rPr>
          <w:vertAlign w:val="subscript"/>
        </w:rPr>
        <w:t>c</w:t>
      </w:r>
      <w:r>
        <w:rPr>
          <w:i/>
        </w:rPr>
        <w:t>I</w:t>
      </w:r>
      <w:r>
        <w:rPr>
          <w:vertAlign w:val="subscript"/>
        </w:rPr>
        <w:t>c</w:t>
      </w:r>
      <w:r>
        <w:rPr>
          <w:rFonts w:hint="eastAsia"/>
        </w:rPr>
        <w:t>、</w:t>
      </w:r>
      <w:r>
        <w:rPr>
          <w:i/>
        </w:rPr>
        <w:t>G</w:t>
      </w:r>
      <w:r>
        <w:rPr>
          <w:vertAlign w:val="subscript"/>
        </w:rPr>
        <w:t>c</w:t>
      </w:r>
      <w:r>
        <w:rPr>
          <w:i/>
        </w:rPr>
        <w:t>A</w:t>
      </w:r>
      <w:r>
        <w:rPr>
          <w:vertAlign w:val="subscript"/>
        </w:rPr>
        <w:t>c</w:t>
      </w:r>
      <w:r>
        <w:rPr>
          <w:rFonts w:hint="eastAsia"/>
        </w:rPr>
        <w:t>——混凝土部分的截面轴向刚度、抗弯刚度、抗剪刚度；</w:t>
      </w:r>
    </w:p>
    <w:p>
      <w:pPr>
        <w:ind w:firstLine="420"/>
      </w:pPr>
    </w:p>
    <w:p>
      <w:pPr>
        <w:pStyle w:val="4"/>
        <w:ind w:right="210"/>
      </w:pPr>
      <w:r>
        <w:rPr>
          <w:rFonts w:hint="eastAsia"/>
        </w:rPr>
        <w:t>对结构分析软件的计算结果，应进行审核判断，确认其合理、有效后方可应用于工程设计。体形和受力复杂的装配式混合框架结构，宜采用多个结构分析软件分别计算后交叉验证计算结果的准确性。</w:t>
      </w:r>
    </w:p>
    <w:p>
      <w:pPr>
        <w:pStyle w:val="3"/>
        <w:spacing w:before="120" w:after="120"/>
      </w:pPr>
      <w:bookmarkStart w:id="96" w:name="_Toc186641481"/>
      <w:bookmarkStart w:id="97" w:name="_Toc29634"/>
      <w:r>
        <w:rPr>
          <w:rFonts w:hint="eastAsia"/>
        </w:rPr>
        <w:t>分析模型</w:t>
      </w:r>
      <w:bookmarkEnd w:id="96"/>
      <w:bookmarkEnd w:id="97"/>
    </w:p>
    <w:p>
      <w:pPr>
        <w:pStyle w:val="4"/>
        <w:ind w:right="210"/>
      </w:pPr>
      <w:r>
        <w:rPr>
          <w:rFonts w:hint="eastAsia"/>
        </w:rPr>
        <w:t>装配式混合框架结构分析模型应根据结构实际情况确定，所选取的分析模型应能准确反映结构中各构件的实际性能；结构分析中所采用的各种近似假定和简化，应有理论、试验依据或工程实践验证；计算结果的精度应符合工程设计的要求。</w:t>
      </w:r>
    </w:p>
    <w:p>
      <w:pPr>
        <w:pStyle w:val="4"/>
        <w:ind w:right="210"/>
      </w:pPr>
      <w:r>
        <w:rPr>
          <w:rFonts w:hint="eastAsia"/>
        </w:rPr>
        <w:t>装配式混合框架结构宜按空间体系进行结构整体分析，宜考虑结构单元的弯曲、轴向、剪切和扭转变形对结构内力的影响。</w:t>
      </w:r>
    </w:p>
    <w:p>
      <w:pPr>
        <w:ind w:firstLine="420"/>
      </w:pPr>
      <w:r>
        <w:rPr>
          <w:rFonts w:hint="eastAsia"/>
        </w:rPr>
        <w:t>当进行简化分析时，应符合下列规定：</w:t>
      </w:r>
    </w:p>
    <w:p>
      <w:pPr>
        <w:numPr>
          <w:ilvl w:val="0"/>
          <w:numId w:val="17"/>
        </w:numPr>
        <w:ind w:left="0" w:firstLine="420"/>
      </w:pPr>
      <w:r>
        <w:rPr>
          <w:rFonts w:hint="eastAsia"/>
        </w:rPr>
        <w:t>形体规则的空间结构，可沿柱列或墙轴线分解为不同方向的平面结构分别进行分析，但应考虑平面结构的空间协同工作。</w:t>
      </w:r>
    </w:p>
    <w:p>
      <w:pPr>
        <w:numPr>
          <w:ilvl w:val="0"/>
          <w:numId w:val="17"/>
        </w:numPr>
        <w:ind w:left="0" w:firstLine="420"/>
      </w:pPr>
      <w:r>
        <w:rPr>
          <w:rFonts w:hint="eastAsia"/>
        </w:rPr>
        <w:t>构件的轴向、剪切和扭转变形对结构内力分析有影响时，应予以考虑。</w:t>
      </w:r>
    </w:p>
    <w:p>
      <w:pPr>
        <w:pStyle w:val="4"/>
        <w:ind w:right="210"/>
      </w:pPr>
      <w:r>
        <w:rPr>
          <w:rFonts w:hint="eastAsia"/>
        </w:rPr>
        <w:t>装配式混合框架结构计算简图宜按下列方法确定：</w:t>
      </w:r>
    </w:p>
    <w:p>
      <w:pPr>
        <w:numPr>
          <w:ilvl w:val="0"/>
          <w:numId w:val="18"/>
        </w:numPr>
        <w:ind w:left="0" w:firstLine="420"/>
      </w:pPr>
      <w:r>
        <w:rPr>
          <w:rFonts w:hint="eastAsia"/>
        </w:rPr>
        <w:t>梁、柱、杆等一维构件的轴线宜取为截面几何中心的连线；墙、板等二维构件的中轴面宜取为截面中心线组成的平面或曲面。</w:t>
      </w:r>
    </w:p>
    <w:p>
      <w:pPr>
        <w:numPr>
          <w:ilvl w:val="0"/>
          <w:numId w:val="18"/>
        </w:numPr>
        <w:ind w:left="0" w:firstLine="420"/>
      </w:pPr>
      <w:r>
        <w:rPr>
          <w:rFonts w:hint="eastAsia"/>
        </w:rPr>
        <w:t>现浇结构和装配整体式结构的梁柱节点、柱与基础连接处等可作为刚接；非整体浇筑的次梁两端及板跨两端可近似作为铰接。</w:t>
      </w:r>
    </w:p>
    <w:p>
      <w:pPr>
        <w:numPr>
          <w:ilvl w:val="0"/>
          <w:numId w:val="18"/>
        </w:numPr>
        <w:ind w:left="0" w:firstLine="420"/>
      </w:pPr>
      <w:r>
        <w:rPr>
          <w:rFonts w:hint="eastAsia"/>
        </w:rPr>
        <w:t>梁、柱等杆件的计算跨度或计算高度可按其两端支承长度的中心距或净距确定，并应根据支承节点的连接刚度或支承反力的位置加以修正。</w:t>
      </w:r>
    </w:p>
    <w:p>
      <w:pPr>
        <w:numPr>
          <w:ilvl w:val="0"/>
          <w:numId w:val="18"/>
        </w:numPr>
        <w:ind w:left="0" w:firstLine="420"/>
      </w:pPr>
      <w:r>
        <w:rPr>
          <w:rFonts w:hint="eastAsia"/>
        </w:rPr>
        <w:t>梁、柱等杆件间连接部分的刚度远大于杆件中间截面的刚度时，在计算模型中可作为刚域处理。</w:t>
      </w:r>
    </w:p>
    <w:p>
      <w:pPr>
        <w:pStyle w:val="4"/>
        <w:ind w:right="210"/>
      </w:pPr>
      <w:r>
        <w:rPr>
          <w:rFonts w:hint="eastAsia"/>
        </w:rPr>
        <w:t>在结构整体计算中，宜考虑框架梁、柱节点区的刚域影响，梁端截面弯矩可取刚域端截面的弯矩计算值。刚域（图2）的长度可按公式</w:t>
      </w:r>
      <w:r>
        <w:rPr>
          <w:rFonts w:hint="eastAsia"/>
          <w:lang w:val="zh-CN"/>
        </w:rPr>
        <w:t>（</w:t>
      </w:r>
      <w:r>
        <w:rPr>
          <w:lang w:val="zh-CN"/>
        </w:rPr>
        <w:t>4</w:t>
      </w:r>
      <w:r>
        <w:rPr>
          <w:rFonts w:hint="eastAsia"/>
          <w:lang w:val="zh-CN"/>
        </w:rPr>
        <w:t>）-（</w:t>
      </w:r>
      <w:r>
        <w:rPr>
          <w:lang w:val="zh-CN"/>
        </w:rPr>
        <w:t>7</w:t>
      </w:r>
      <w:r>
        <w:rPr>
          <w:rFonts w:hint="eastAsia"/>
          <w:lang w:val="zh-CN"/>
        </w:rPr>
        <w:t>）</w:t>
      </w:r>
      <w:r>
        <w:rPr>
          <w:rFonts w:hint="eastAsia"/>
        </w:rPr>
        <w:t>计算：</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32"/>
        <w:gridCol w:w="41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gridSpan w:val="2"/>
            <w:vAlign w:val="center"/>
          </w:tcPr>
          <w:p>
            <w:pPr>
              <w:ind w:firstLine="0" w:firstLineChars="0"/>
              <w:jc w:val="center"/>
              <w:rPr>
                <w:rFonts w:cs="Times New Roman"/>
                <w:kern w:val="0"/>
                <w:sz w:val="20"/>
                <w:szCs w:val="20"/>
              </w:rPr>
            </w:pPr>
            <w:r>
              <w:rPr>
                <w:rFonts w:hint="eastAsia" w:cs="Times New Roman"/>
                <w:kern w:val="0"/>
                <w:sz w:val="20"/>
                <w:szCs w:val="20"/>
              </w:rPr>
              <w:drawing>
                <wp:inline distT="0" distB="0" distL="0" distR="0">
                  <wp:extent cx="1108710" cy="1111885"/>
                  <wp:effectExtent l="0" t="0" r="15240" b="1206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1108800" cy="11124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gridSpan w:val="2"/>
            <w:vAlign w:val="center"/>
          </w:tcPr>
          <w:p>
            <w:pPr>
              <w:spacing w:line="400" w:lineRule="exact"/>
              <w:ind w:firstLine="0" w:firstLineChars="0"/>
              <w:jc w:val="center"/>
              <w:rPr>
                <w:rFonts w:ascii="黑体" w:hAnsi="黑体" w:eastAsia="黑体" w:cs="Times New Roman"/>
                <w:kern w:val="0"/>
                <w:szCs w:val="21"/>
              </w:rPr>
            </w:pPr>
            <w:r>
              <w:rPr>
                <w:rFonts w:hint="eastAsia" w:ascii="黑体" w:hAnsi="黑体" w:eastAsia="黑体" w:cs="Times New Roman"/>
                <w:kern w:val="0"/>
                <w:szCs w:val="21"/>
              </w:rPr>
              <w:t>图</w:t>
            </w:r>
            <w:r>
              <w:rPr>
                <w:rFonts w:ascii="黑体" w:hAnsi="黑体" w:eastAsia="黑体" w:cs="Times New Roman"/>
                <w:kern w:val="0"/>
                <w:szCs w:val="21"/>
              </w:rPr>
              <w:t>2</w:t>
            </w:r>
            <w:r>
              <w:rPr>
                <w:rFonts w:hint="eastAsia" w:ascii="黑体" w:hAnsi="黑体" w:eastAsia="黑体" w:cs="黑体"/>
                <w:kern w:val="0"/>
                <w:sz w:val="20"/>
                <w:szCs w:val="20"/>
              </w:rPr>
              <w:t>　</w:t>
            </w:r>
            <w:r>
              <w:rPr>
                <w:rFonts w:hint="eastAsia" w:ascii="黑体" w:hAnsi="黑体" w:eastAsia="黑体" w:cs="Times New Roman"/>
                <w:kern w:val="0"/>
                <w:szCs w:val="21"/>
              </w:rPr>
              <w:t>刚域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32"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28" o:spt="75" type="#_x0000_t75" style="height:15.65pt;width:68.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p>
        </w:tc>
        <w:tc>
          <w:tcPr>
            <w:tcW w:w="4139"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4</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32"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29" o:spt="75" type="#_x0000_t75" style="height:15.65pt;width:68.8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p>
        </w:tc>
        <w:tc>
          <w:tcPr>
            <w:tcW w:w="4139"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5</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32"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30" o:spt="75" type="#_x0000_t75" style="height:15.65pt;width:66.3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p>
        </w:tc>
        <w:tc>
          <w:tcPr>
            <w:tcW w:w="4139"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6</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32" w:type="dxa"/>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0"/>
                <w:sz w:val="20"/>
                <w:szCs w:val="20"/>
              </w:rPr>
              <w:object>
                <v:shape id="_x0000_i1031" o:spt="75" type="#_x0000_t75" style="height:15.65pt;width:68.25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p>
        </w:tc>
        <w:tc>
          <w:tcPr>
            <w:tcW w:w="4139" w:type="dxa"/>
            <w:vAlign w:val="center"/>
          </w:tcPr>
          <w:p>
            <w:pPr>
              <w:ind w:firstLine="0" w:firstLineChars="0"/>
              <w:jc w:val="cente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7</w:t>
            </w:r>
            <w:r>
              <w:rPr>
                <w:rFonts w:hint="eastAsia" w:cs="Times New Roman"/>
                <w:kern w:val="0"/>
                <w:sz w:val="20"/>
                <w:szCs w:val="20"/>
              </w:rPr>
              <w:t>）</w:t>
            </w:r>
          </w:p>
        </w:tc>
      </w:tr>
    </w:tbl>
    <w:p>
      <w:pPr>
        <w:spacing w:line="400" w:lineRule="exact"/>
        <w:ind w:firstLine="0" w:firstLineChars="0"/>
      </w:pPr>
      <w:r>
        <w:rPr>
          <w:rFonts w:hint="eastAsia"/>
        </w:rPr>
        <w:t>当计算的刚域长度为负值时，应取为零。</w:t>
      </w:r>
    </w:p>
    <w:p>
      <w:pPr>
        <w:pStyle w:val="4"/>
        <w:ind w:right="210"/>
      </w:pPr>
      <w:r>
        <w:rPr>
          <w:rFonts w:hint="eastAsia"/>
        </w:rPr>
        <w:t>进行结构整体计算时，可假定楼板在其自身平面内为无限刚性，设计时应采取相应的措施保证楼板平面内的整体刚度。当楼板开有较大洞口或可能产生较明显的面内变形时，在结构分析中应考虑楼板变形的影响，或对采用楼板面内无限刚性假定计算方法的计算结果进行适当调整。</w:t>
      </w:r>
    </w:p>
    <w:p>
      <w:pPr>
        <w:pStyle w:val="4"/>
        <w:ind w:right="210"/>
      </w:pPr>
      <w:r>
        <w:rPr>
          <w:rFonts w:hint="eastAsia"/>
        </w:rPr>
        <w:t>对现浇楼盖和装配整体式楼盖，可考虑楼板作为翼缘对梁刚度和承载力的增大作用。对于无现浇面层的装配式楼盖，不宜考虑楼板对梁刚度和承载力的有利影响。</w:t>
      </w:r>
    </w:p>
    <w:p>
      <w:pPr>
        <w:pStyle w:val="3"/>
        <w:spacing w:before="120" w:after="120"/>
      </w:pPr>
      <w:bookmarkStart w:id="98" w:name="_Toc186641482"/>
      <w:bookmarkStart w:id="99" w:name="_Toc8758"/>
      <w:r>
        <w:rPr>
          <w:rFonts w:hint="eastAsia"/>
        </w:rPr>
        <w:t>弹性分析</w:t>
      </w:r>
      <w:bookmarkEnd w:id="98"/>
      <w:bookmarkEnd w:id="99"/>
    </w:p>
    <w:p>
      <w:pPr>
        <w:pStyle w:val="4"/>
        <w:ind w:right="210"/>
      </w:pPr>
      <w:r>
        <w:rPr>
          <w:rFonts w:hint="eastAsia"/>
        </w:rPr>
        <w:t>结构的弹性分析方法可用于正常使用极限状态和承载能力极限状态作用效应的分析。</w:t>
      </w:r>
    </w:p>
    <w:p>
      <w:pPr>
        <w:pStyle w:val="4"/>
        <w:ind w:right="210"/>
      </w:pPr>
      <w:r>
        <w:rPr>
          <w:rFonts w:hint="eastAsia"/>
        </w:rPr>
        <w:t>装配式混合框架结构弹性分析宜采用结构力学或弹性力学等分析方法。体形规则的结构，可根据作用的种类和特性，采用适当的简化分析方法。</w:t>
      </w:r>
    </w:p>
    <w:p>
      <w:pPr>
        <w:pStyle w:val="4"/>
        <w:ind w:right="210"/>
      </w:pPr>
      <w:r>
        <w:rPr>
          <w:rFonts w:hint="eastAsia"/>
        </w:rPr>
        <w:t>当结构的二阶效应可能使作用效应显著增大时，在结构分析中应考虑二阶效应的不利影响。</w:t>
      </w:r>
    </w:p>
    <w:p>
      <w:pPr>
        <w:pStyle w:val="3"/>
        <w:spacing w:before="120" w:after="120"/>
      </w:pPr>
      <w:bookmarkStart w:id="100" w:name="_Toc803"/>
      <w:bookmarkStart w:id="101" w:name="_Toc186641483"/>
      <w:r>
        <w:rPr>
          <w:rFonts w:hint="eastAsia"/>
        </w:rPr>
        <w:t>弹塑性分析</w:t>
      </w:r>
      <w:bookmarkEnd w:id="100"/>
      <w:bookmarkEnd w:id="101"/>
    </w:p>
    <w:p>
      <w:pPr>
        <w:pStyle w:val="4"/>
        <w:ind w:right="210"/>
      </w:pPr>
      <w:r>
        <w:rPr>
          <w:rFonts w:hint="eastAsia"/>
        </w:rPr>
        <w:t>重要、复杂或不规则的装配式混合框架结构，宜采用弹塑性分析方法对结构整体或局部进行验算。</w:t>
      </w:r>
    </w:p>
    <w:p>
      <w:pPr>
        <w:pStyle w:val="4"/>
        <w:ind w:right="210"/>
      </w:pPr>
      <w:r>
        <w:rPr>
          <w:rFonts w:hint="eastAsia"/>
        </w:rPr>
        <w:t>结构弹塑性分析宜遵循下列原则：</w:t>
      </w:r>
    </w:p>
    <w:p>
      <w:pPr>
        <w:numPr>
          <w:ilvl w:val="0"/>
          <w:numId w:val="19"/>
        </w:numPr>
        <w:ind w:left="0" w:firstLine="420"/>
      </w:pPr>
      <w:r>
        <w:rPr>
          <w:rFonts w:hint="eastAsia"/>
        </w:rPr>
        <w:t>应预先设定结构的形状、尺寸、边界条件、材料性能和配筋等。</w:t>
      </w:r>
    </w:p>
    <w:p>
      <w:pPr>
        <w:numPr>
          <w:ilvl w:val="0"/>
          <w:numId w:val="19"/>
        </w:numPr>
        <w:ind w:left="0" w:firstLine="420"/>
      </w:pPr>
      <w:r>
        <w:rPr>
          <w:rFonts w:hint="eastAsia"/>
        </w:rPr>
        <w:t>材料的性能指标宜取平均值，并宜通过试验分析确定，也可按</w:t>
      </w:r>
      <w:r>
        <w:t>GB/T 50010附录</w:t>
      </w:r>
      <w:r>
        <w:rPr>
          <w:rFonts w:hint="eastAsia"/>
        </w:rPr>
        <w:t>C的规定确定。</w:t>
      </w:r>
    </w:p>
    <w:p>
      <w:pPr>
        <w:numPr>
          <w:ilvl w:val="0"/>
          <w:numId w:val="19"/>
        </w:numPr>
        <w:ind w:left="0" w:firstLine="420"/>
      </w:pPr>
      <w:r>
        <w:rPr>
          <w:rFonts w:hint="eastAsia"/>
        </w:rPr>
        <w:t>应考虑结构几何非线性的不利影响。</w:t>
      </w:r>
    </w:p>
    <w:p>
      <w:pPr>
        <w:numPr>
          <w:ilvl w:val="0"/>
          <w:numId w:val="19"/>
        </w:numPr>
        <w:ind w:left="0" w:firstLine="420"/>
      </w:pPr>
      <w:r>
        <w:rPr>
          <w:rFonts w:hint="eastAsia"/>
        </w:rPr>
        <w:t>分析结果用于承载力设计时，宜考虑抗力模型不定性系数对结构的抗力进行适当调整。</w:t>
      </w:r>
    </w:p>
    <w:p>
      <w:pPr>
        <w:numPr>
          <w:ilvl w:val="0"/>
          <w:numId w:val="19"/>
        </w:numPr>
        <w:ind w:left="0" w:firstLine="420"/>
      </w:pPr>
      <w:r>
        <w:rPr>
          <w:rFonts w:hint="eastAsia"/>
        </w:rPr>
        <w:t>性能化设计的工程，应预设性能目标。</w:t>
      </w:r>
    </w:p>
    <w:p>
      <w:pPr>
        <w:pStyle w:val="4"/>
        <w:ind w:right="210"/>
      </w:pPr>
      <w:r>
        <w:rPr>
          <w:rFonts w:hint="eastAsia"/>
        </w:rPr>
        <w:t>结构弹塑性分析可根据实际情况采用静力或动力分析方法。结构的计算模型宜按下列原则确定：</w:t>
      </w:r>
    </w:p>
    <w:p>
      <w:pPr>
        <w:numPr>
          <w:ilvl w:val="0"/>
          <w:numId w:val="20"/>
        </w:numPr>
        <w:ind w:left="0" w:firstLine="420"/>
      </w:pPr>
      <w:r>
        <w:rPr>
          <w:rFonts w:hint="eastAsia"/>
        </w:rPr>
        <w:t>模型应包括结构主要受力构件，应能正确反映结构的质量、刚度和承载力的分布以及结构构件的弹塑性性能。</w:t>
      </w:r>
    </w:p>
    <w:p>
      <w:pPr>
        <w:numPr>
          <w:ilvl w:val="0"/>
          <w:numId w:val="20"/>
        </w:numPr>
        <w:ind w:left="0" w:firstLine="420"/>
      </w:pPr>
      <w:r>
        <w:rPr>
          <w:rFonts w:hint="eastAsia"/>
        </w:rPr>
        <w:t>梁、柱、斜撑、剪力墙、楼板等结构构件，应根据实际情况和分析精度要求采用合适的简化模型。</w:t>
      </w:r>
    </w:p>
    <w:bookmarkEnd w:id="75"/>
    <w:p>
      <w:pPr>
        <w:pStyle w:val="2"/>
        <w:keepNext w:val="0"/>
        <w:keepLines w:val="0"/>
        <w:spacing w:before="240" w:after="240"/>
      </w:pPr>
      <w:bookmarkStart w:id="102" w:name="_Toc32471"/>
      <w:bookmarkStart w:id="103" w:name="_Toc185448943"/>
      <w:bookmarkStart w:id="104" w:name="_Toc14578"/>
      <w:bookmarkStart w:id="105" w:name="_Toc185448853"/>
      <w:bookmarkStart w:id="106" w:name="_Toc186641484"/>
      <w:r>
        <w:rPr>
          <w:rFonts w:hint="eastAsia"/>
        </w:rPr>
        <w:t>结构设计</w:t>
      </w:r>
      <w:bookmarkEnd w:id="102"/>
      <w:bookmarkEnd w:id="103"/>
      <w:bookmarkEnd w:id="104"/>
      <w:bookmarkEnd w:id="105"/>
      <w:bookmarkEnd w:id="106"/>
    </w:p>
    <w:p>
      <w:pPr>
        <w:pStyle w:val="3"/>
        <w:keepNext w:val="0"/>
        <w:keepLines w:val="0"/>
        <w:spacing w:before="120" w:after="120"/>
      </w:pPr>
      <w:bookmarkStart w:id="107" w:name="_Toc30140"/>
      <w:bookmarkStart w:id="108" w:name="_Toc30066"/>
      <w:bookmarkStart w:id="109" w:name="_Toc186641485"/>
      <w:r>
        <w:rPr>
          <w:rFonts w:hint="eastAsia"/>
        </w:rPr>
        <w:t>一般规定</w:t>
      </w:r>
      <w:bookmarkEnd w:id="107"/>
      <w:bookmarkEnd w:id="108"/>
      <w:bookmarkEnd w:id="109"/>
    </w:p>
    <w:p>
      <w:pPr>
        <w:pStyle w:val="4"/>
        <w:keepNext w:val="0"/>
        <w:keepLines w:val="0"/>
        <w:ind w:right="210"/>
      </w:pPr>
      <w:bookmarkStart w:id="110" w:name="_Toc24436"/>
      <w:r>
        <w:rPr>
          <w:rFonts w:hint="eastAsia"/>
        </w:rPr>
        <w:t>装配式混合框架结构房屋最大适用高度应符合表</w:t>
      </w:r>
      <w:r>
        <w:t>1</w:t>
      </w:r>
      <w:r>
        <w:rPr>
          <w:rFonts w:hint="eastAsia"/>
        </w:rPr>
        <w:t>的要求。</w:t>
      </w:r>
      <w:bookmarkEnd w:id="110"/>
    </w:p>
    <w:p>
      <w:pPr>
        <w:spacing w:line="400" w:lineRule="exact"/>
        <w:ind w:firstLine="0" w:firstLineChars="0"/>
        <w:jc w:val="center"/>
        <w:rPr>
          <w:rFonts w:ascii="黑体" w:hAnsi="黑体" w:eastAsia="黑体"/>
        </w:rPr>
      </w:pPr>
      <w:r>
        <w:rPr>
          <w:rFonts w:hint="eastAsia" w:ascii="黑体" w:hAnsi="黑体" w:eastAsia="黑体"/>
          <w:bCs/>
        </w:rPr>
        <w:t>表1</w:t>
      </w:r>
      <w:r>
        <w:rPr>
          <w:rFonts w:hint="eastAsia" w:ascii="黑体" w:hAnsi="黑体" w:eastAsia="黑体" w:cs="黑体"/>
        </w:rPr>
        <w:t>　</w:t>
      </w:r>
      <w:r>
        <w:rPr>
          <w:rFonts w:hint="eastAsia" w:ascii="黑体" w:hAnsi="黑体" w:eastAsia="黑体" w:cs="宋体"/>
        </w:rPr>
        <w:t>装配式混合框架结构房屋最大适用高度（m）</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178"/>
        <w:gridCol w:w="1451"/>
        <w:gridCol w:w="1545"/>
        <w:gridCol w:w="1545"/>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819" w:type="pct"/>
            <w:gridSpan w:val="2"/>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结构类型</w:t>
            </w:r>
          </w:p>
        </w:tc>
        <w:tc>
          <w:tcPr>
            <w:tcW w:w="758"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非抗震设计</w:t>
            </w:r>
          </w:p>
        </w:tc>
        <w:tc>
          <w:tcPr>
            <w:tcW w:w="2423"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819" w:type="pct"/>
            <w:gridSpan w:val="2"/>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18"/>
                <w:szCs w:val="18"/>
              </w:rPr>
            </w:pPr>
          </w:p>
        </w:tc>
        <w:tc>
          <w:tcPr>
            <w:tcW w:w="758"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18"/>
                <w:szCs w:val="18"/>
              </w:rPr>
            </w:pPr>
          </w:p>
        </w:tc>
        <w:tc>
          <w:tcPr>
            <w:tcW w:w="80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6</w:t>
            </w:r>
          </w:p>
        </w:tc>
        <w:tc>
          <w:tcPr>
            <w:tcW w:w="80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rPr>
            </w:pPr>
            <w:r>
              <w:rPr>
                <w:rFonts w:hint="eastAsia" w:ascii="宋体" w:hAnsi="宋体" w:cs="宋体"/>
              </w:rPr>
              <w:t>7</w:t>
            </w:r>
          </w:p>
        </w:tc>
        <w:tc>
          <w:tcPr>
            <w:tcW w:w="80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rPr>
            </w:pPr>
            <w:r>
              <w:rPr>
                <w:rFonts w:hint="eastAsia" w:ascii="宋体" w:hAnsi="宋体" w:cs="宋体"/>
              </w:rPr>
              <w:t>8（0.2g）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681" w:type="pct"/>
            <w:vMerge w:val="restart"/>
            <w:tcBorders>
              <w:top w:val="single" w:color="auto" w:sz="4" w:space="0"/>
            </w:tcBorders>
            <w:vAlign w:val="center"/>
          </w:tcPr>
          <w:p>
            <w:pPr>
              <w:ind w:firstLine="0" w:firstLineChars="0"/>
              <w:jc w:val="center"/>
              <w:rPr>
                <w:rFonts w:ascii="宋体" w:hAnsi="宋体" w:cs="宋体"/>
              </w:rPr>
            </w:pPr>
            <w:r>
              <w:rPr>
                <w:rFonts w:hint="eastAsia" w:ascii="宋体" w:hAnsi="宋体" w:cs="宋体"/>
              </w:rPr>
              <w:t>装配式混合框架结构</w:t>
            </w:r>
          </w:p>
        </w:tc>
        <w:tc>
          <w:tcPr>
            <w:tcW w:w="1138" w:type="pct"/>
            <w:tcBorders>
              <w:top w:val="single" w:color="auto" w:sz="4" w:space="0"/>
              <w:bottom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装配式钢管混凝土柱-钢筋混凝土梁结构</w:t>
            </w:r>
          </w:p>
        </w:tc>
        <w:tc>
          <w:tcPr>
            <w:tcW w:w="758" w:type="pct"/>
            <w:tcBorders>
              <w:top w:val="single" w:color="auto" w:sz="4" w:space="0"/>
              <w:bottom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70</w:t>
            </w:r>
          </w:p>
        </w:tc>
        <w:tc>
          <w:tcPr>
            <w:tcW w:w="807" w:type="pct"/>
            <w:tcBorders>
              <w:top w:val="single" w:color="auto" w:sz="4" w:space="0"/>
              <w:bottom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60</w:t>
            </w:r>
          </w:p>
        </w:tc>
        <w:tc>
          <w:tcPr>
            <w:tcW w:w="807" w:type="pct"/>
            <w:tcBorders>
              <w:top w:val="single" w:color="auto" w:sz="4" w:space="0"/>
              <w:bottom w:val="single" w:color="auto" w:sz="4" w:space="0"/>
            </w:tcBorders>
            <w:vAlign w:val="center"/>
          </w:tcPr>
          <w:p>
            <w:pPr>
              <w:spacing w:line="240" w:lineRule="auto"/>
              <w:ind w:firstLine="0" w:firstLineChars="0"/>
              <w:jc w:val="center"/>
              <w:rPr>
                <w:rFonts w:ascii="宋体" w:hAnsi="宋体" w:cs="宋体"/>
              </w:rPr>
            </w:pPr>
            <w:r>
              <w:rPr>
                <w:rFonts w:hint="eastAsia" w:ascii="宋体" w:hAnsi="宋体" w:cs="宋体"/>
              </w:rPr>
              <w:t>50</w:t>
            </w:r>
          </w:p>
        </w:tc>
        <w:tc>
          <w:tcPr>
            <w:tcW w:w="808" w:type="pct"/>
            <w:tcBorders>
              <w:top w:val="single" w:color="auto" w:sz="4" w:space="0"/>
              <w:bottom w:val="single" w:color="auto" w:sz="4" w:space="0"/>
            </w:tcBorders>
            <w:vAlign w:val="center"/>
          </w:tcPr>
          <w:p>
            <w:pPr>
              <w:spacing w:line="240" w:lineRule="auto"/>
              <w:ind w:firstLine="0" w:firstLineChars="0"/>
              <w:jc w:val="center"/>
              <w:rPr>
                <w:rFonts w:ascii="宋体" w:hAnsi="宋体" w:cs="宋体"/>
              </w:rPr>
            </w:pPr>
            <w:r>
              <w:rPr>
                <w:rFonts w:hint="eastAsia" w:ascii="宋体" w:hAnsi="宋体" w:cs="宋体"/>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681" w:type="pct"/>
            <w:vMerge w:val="continue"/>
            <w:vAlign w:val="center"/>
          </w:tcPr>
          <w:p>
            <w:pPr>
              <w:ind w:firstLine="0" w:firstLineChars="0"/>
              <w:jc w:val="center"/>
              <w:rPr>
                <w:rFonts w:ascii="宋体" w:hAnsi="宋体" w:cs="宋体"/>
              </w:rPr>
            </w:pPr>
          </w:p>
        </w:tc>
        <w:tc>
          <w:tcPr>
            <w:tcW w:w="1138" w:type="pct"/>
            <w:tcBorders>
              <w:top w:val="single" w:color="auto" w:sz="4" w:space="0"/>
              <w:bottom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装配式钢筋混凝土柱-钢梁结构</w:t>
            </w:r>
          </w:p>
        </w:tc>
        <w:tc>
          <w:tcPr>
            <w:tcW w:w="758" w:type="pct"/>
            <w:tcBorders>
              <w:top w:val="single" w:color="auto" w:sz="4" w:space="0"/>
              <w:bottom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50</w:t>
            </w:r>
          </w:p>
        </w:tc>
        <w:tc>
          <w:tcPr>
            <w:tcW w:w="807" w:type="pct"/>
            <w:tcBorders>
              <w:top w:val="single" w:color="auto" w:sz="4" w:space="0"/>
              <w:bottom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50</w:t>
            </w:r>
          </w:p>
        </w:tc>
        <w:tc>
          <w:tcPr>
            <w:tcW w:w="807" w:type="pct"/>
            <w:tcBorders>
              <w:top w:val="single" w:color="auto" w:sz="4" w:space="0"/>
              <w:bottom w:val="single" w:color="auto" w:sz="4" w:space="0"/>
            </w:tcBorders>
            <w:vAlign w:val="center"/>
          </w:tcPr>
          <w:p>
            <w:pPr>
              <w:spacing w:line="240" w:lineRule="auto"/>
              <w:ind w:firstLine="0" w:firstLineChars="0"/>
              <w:jc w:val="center"/>
              <w:rPr>
                <w:rFonts w:ascii="宋体" w:hAnsi="宋体" w:cs="宋体"/>
              </w:rPr>
            </w:pPr>
            <w:r>
              <w:rPr>
                <w:rFonts w:hint="eastAsia" w:ascii="宋体" w:hAnsi="宋体" w:cs="宋体"/>
              </w:rPr>
              <w:t>4</w:t>
            </w:r>
            <w:r>
              <w:rPr>
                <w:rFonts w:ascii="宋体" w:hAnsi="宋体" w:cs="宋体"/>
              </w:rPr>
              <w:t>0</w:t>
            </w:r>
          </w:p>
        </w:tc>
        <w:tc>
          <w:tcPr>
            <w:tcW w:w="808" w:type="pct"/>
            <w:tcBorders>
              <w:top w:val="single" w:color="auto" w:sz="4" w:space="0"/>
              <w:bottom w:val="single" w:color="auto" w:sz="4" w:space="0"/>
            </w:tcBorders>
            <w:vAlign w:val="center"/>
          </w:tcPr>
          <w:p>
            <w:pPr>
              <w:spacing w:line="240" w:lineRule="auto"/>
              <w:ind w:firstLine="0" w:firstLineChars="0"/>
              <w:jc w:val="center"/>
              <w:rPr>
                <w:rFonts w:ascii="宋体" w:hAnsi="宋体" w:cs="宋体"/>
              </w:rPr>
            </w:pPr>
            <w:r>
              <w:rPr>
                <w:rFonts w:hint="eastAsia" w:ascii="宋体" w:hAnsi="宋体" w:cs="宋体"/>
              </w:rPr>
              <w:t>3</w:t>
            </w:r>
            <w:r>
              <w:rPr>
                <w:rFonts w:ascii="宋体" w:hAns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 w:type="pct"/>
            <w:gridSpan w:val="6"/>
            <w:vAlign w:val="center"/>
          </w:tcPr>
          <w:p>
            <w:pPr>
              <w:spacing w:line="240" w:lineRule="auto"/>
              <w:ind w:firstLine="0" w:firstLineChars="0"/>
              <w:rPr>
                <w:rFonts w:cs="Times New Roman"/>
                <w:sz w:val="18"/>
                <w:szCs w:val="18"/>
                <w:lang w:val="zh-CN"/>
              </w:rPr>
            </w:pPr>
            <w:r>
              <w:rPr>
                <w:rFonts w:cs="Times New Roman"/>
                <w:sz w:val="18"/>
                <w:szCs w:val="18"/>
              </w:rPr>
              <w:t>注：1</w:t>
            </w:r>
            <w:r>
              <w:rPr>
                <w:rFonts w:cs="Times New Roman"/>
                <w:color w:val="000000"/>
                <w:sz w:val="18"/>
                <w:szCs w:val="18"/>
              </w:rPr>
              <w:t>、</w:t>
            </w:r>
            <w:r>
              <w:rPr>
                <w:rFonts w:cs="Times New Roman"/>
                <w:sz w:val="18"/>
                <w:szCs w:val="18"/>
                <w:lang w:val="zh-CN"/>
              </w:rPr>
              <w:t>房屋高度指室外地面到主要屋面顶板的高度（不包括局部突出屋顶部分）。</w:t>
            </w:r>
          </w:p>
          <w:p>
            <w:pPr>
              <w:spacing w:line="240" w:lineRule="auto"/>
              <w:ind w:firstLine="360"/>
              <w:rPr>
                <w:rFonts w:cs="Times New Roman"/>
                <w:sz w:val="18"/>
                <w:szCs w:val="18"/>
                <w:lang w:val="zh-CN"/>
              </w:rPr>
            </w:pPr>
            <w:r>
              <w:rPr>
                <w:rFonts w:cs="Times New Roman"/>
                <w:sz w:val="18"/>
                <w:szCs w:val="18"/>
                <w:lang w:val="zh-CN"/>
              </w:rPr>
              <w:t>2</w:t>
            </w:r>
            <w:r>
              <w:rPr>
                <w:rFonts w:cs="Times New Roman"/>
                <w:color w:val="000000"/>
                <w:sz w:val="18"/>
                <w:szCs w:val="18"/>
              </w:rPr>
              <w:t>、</w:t>
            </w:r>
            <w:r>
              <w:rPr>
                <w:rFonts w:cs="Times New Roman"/>
                <w:sz w:val="18"/>
                <w:szCs w:val="18"/>
                <w:lang w:val="zh-CN"/>
              </w:rPr>
              <w:t>超过表内高度的房屋，应进行专门研究和论证。</w:t>
            </w:r>
          </w:p>
          <w:p>
            <w:pPr>
              <w:spacing w:line="240" w:lineRule="auto"/>
              <w:ind w:firstLine="360"/>
              <w:jc w:val="left"/>
              <w:rPr>
                <w:rFonts w:cs="Times New Roman"/>
                <w:sz w:val="18"/>
                <w:szCs w:val="18"/>
              </w:rPr>
            </w:pPr>
            <w:r>
              <w:rPr>
                <w:rFonts w:cs="Times New Roman"/>
                <w:sz w:val="18"/>
                <w:szCs w:val="18"/>
              </w:rPr>
              <w:t>3</w:t>
            </w:r>
            <w:r>
              <w:rPr>
                <w:rFonts w:cs="Times New Roman"/>
                <w:color w:val="000000"/>
                <w:sz w:val="18"/>
                <w:szCs w:val="18"/>
              </w:rPr>
              <w:t>、</w:t>
            </w:r>
            <w:r>
              <w:rPr>
                <w:rFonts w:cs="Times New Roman"/>
                <w:sz w:val="18"/>
                <w:szCs w:val="18"/>
              </w:rPr>
              <w:t>装配式混合框架-现浇剪力墙结构及装配式混合框架-现浇核心筒结构房屋最大高度可参照现浇框架-剪力墙结</w:t>
            </w:r>
          </w:p>
          <w:p>
            <w:pPr>
              <w:spacing w:line="240" w:lineRule="auto"/>
              <w:ind w:firstLine="595" w:firstLineChars="331"/>
              <w:jc w:val="left"/>
              <w:rPr>
                <w:rFonts w:cs="Times New Roman"/>
                <w:sz w:val="18"/>
                <w:szCs w:val="18"/>
              </w:rPr>
            </w:pPr>
            <w:r>
              <w:rPr>
                <w:rFonts w:cs="Times New Roman"/>
                <w:sz w:val="18"/>
                <w:szCs w:val="18"/>
              </w:rPr>
              <w:t>构及混合框架-现浇核心筒结构。</w:t>
            </w:r>
          </w:p>
        </w:tc>
      </w:tr>
    </w:tbl>
    <w:p>
      <w:pPr>
        <w:pStyle w:val="4"/>
        <w:keepNext w:val="0"/>
        <w:keepLines w:val="0"/>
        <w:spacing w:before="120" w:beforeLines="50"/>
        <w:ind w:right="0" w:rightChars="0"/>
      </w:pPr>
      <w:r>
        <w:rPr>
          <w:rFonts w:hint="eastAsia"/>
        </w:rPr>
        <w:t>抗震设计时，装配式混合框架结构应根据抗震设防类别、烈度、结构类型和房屋高度采取不同的抗震等级，并应符合相应的计算和构造措施要求。丙类建筑的抗震等级应按表</w:t>
      </w:r>
      <w:r>
        <w:t>2</w:t>
      </w:r>
      <w:r>
        <w:rPr>
          <w:rFonts w:hint="eastAsia"/>
        </w:rPr>
        <w:t>确定。乙类建筑应按本地区相关要求确定。</w:t>
      </w:r>
    </w:p>
    <w:p>
      <w:pPr>
        <w:spacing w:line="400" w:lineRule="exact"/>
        <w:ind w:left="420" w:hanging="420" w:hangingChars="200"/>
        <w:jc w:val="center"/>
        <w:rPr>
          <w:rFonts w:ascii="黑体" w:hAnsi="黑体" w:eastAsia="黑体" w:cs="宋体"/>
          <w:color w:val="FF0000"/>
        </w:rPr>
      </w:pPr>
      <w:r>
        <w:rPr>
          <w:rFonts w:hint="eastAsia" w:ascii="黑体" w:hAnsi="黑体" w:eastAsia="黑体"/>
          <w:bCs/>
        </w:rPr>
        <w:t>表</w:t>
      </w:r>
      <w:r>
        <w:rPr>
          <w:rFonts w:ascii="黑体" w:hAnsi="黑体" w:eastAsia="黑体"/>
          <w:bCs/>
        </w:rPr>
        <w:t>2</w:t>
      </w:r>
      <w:r>
        <w:rPr>
          <w:rFonts w:hint="eastAsia" w:ascii="黑体" w:hAnsi="黑体" w:eastAsia="黑体" w:cs="黑体"/>
        </w:rPr>
        <w:t>　</w:t>
      </w:r>
      <w:r>
        <w:rPr>
          <w:rFonts w:hint="eastAsia" w:ascii="黑体" w:hAnsi="黑体" w:eastAsia="黑体" w:cs="宋体"/>
        </w:rPr>
        <w:t>装配式混合框架结构房屋的抗震等级</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2176"/>
        <w:gridCol w:w="1315"/>
        <w:gridCol w:w="917"/>
        <w:gridCol w:w="919"/>
        <w:gridCol w:w="919"/>
        <w:gridCol w:w="917"/>
        <w:gridCol w:w="919"/>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1" w:type="pct"/>
            <w:gridSpan w:val="3"/>
            <w:vMerge w:val="restart"/>
            <w:vAlign w:val="center"/>
          </w:tcPr>
          <w:p>
            <w:pPr>
              <w:ind w:firstLine="0" w:firstLineChars="0"/>
              <w:jc w:val="center"/>
              <w:rPr>
                <w:rFonts w:cs="Times New Roman"/>
                <w:sz w:val="18"/>
                <w:szCs w:val="18"/>
              </w:rPr>
            </w:pPr>
            <w:r>
              <w:rPr>
                <w:rFonts w:cs="Times New Roman"/>
                <w:sz w:val="18"/>
                <w:szCs w:val="18"/>
              </w:rPr>
              <w:t>结构类型</w:t>
            </w:r>
          </w:p>
        </w:tc>
        <w:tc>
          <w:tcPr>
            <w:tcW w:w="2879" w:type="pct"/>
            <w:gridSpan w:val="6"/>
            <w:vAlign w:val="center"/>
          </w:tcPr>
          <w:p>
            <w:pPr>
              <w:ind w:firstLine="0" w:firstLineChars="0"/>
              <w:jc w:val="center"/>
              <w:rPr>
                <w:rFonts w:cs="Times New Roman"/>
                <w:sz w:val="18"/>
                <w:szCs w:val="18"/>
              </w:rPr>
            </w:pPr>
            <w:r>
              <w:rPr>
                <w:rFonts w:cs="Times New Roman"/>
                <w:sz w:val="18"/>
                <w:szCs w:val="18"/>
              </w:rPr>
              <w:t>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pct"/>
            <w:gridSpan w:val="3"/>
            <w:vMerge w:val="continue"/>
            <w:vAlign w:val="center"/>
          </w:tcPr>
          <w:p>
            <w:pPr>
              <w:ind w:firstLine="0" w:firstLineChars="0"/>
              <w:jc w:val="center"/>
              <w:rPr>
                <w:rFonts w:cs="Times New Roman"/>
                <w:sz w:val="18"/>
                <w:szCs w:val="18"/>
              </w:rPr>
            </w:pPr>
          </w:p>
        </w:tc>
        <w:tc>
          <w:tcPr>
            <w:tcW w:w="959" w:type="pct"/>
            <w:gridSpan w:val="2"/>
            <w:vAlign w:val="center"/>
          </w:tcPr>
          <w:p>
            <w:pPr>
              <w:ind w:firstLine="0" w:firstLineChars="0"/>
              <w:jc w:val="center"/>
              <w:rPr>
                <w:rFonts w:cs="Times New Roman"/>
                <w:sz w:val="18"/>
                <w:szCs w:val="18"/>
              </w:rPr>
            </w:pPr>
            <w:r>
              <w:rPr>
                <w:rFonts w:cs="Times New Roman"/>
                <w:sz w:val="18"/>
                <w:szCs w:val="18"/>
              </w:rPr>
              <w:t>6</w:t>
            </w:r>
          </w:p>
        </w:tc>
        <w:tc>
          <w:tcPr>
            <w:tcW w:w="959" w:type="pct"/>
            <w:gridSpan w:val="2"/>
            <w:vAlign w:val="center"/>
          </w:tcPr>
          <w:p>
            <w:pPr>
              <w:ind w:firstLine="0" w:firstLineChars="0"/>
              <w:jc w:val="center"/>
              <w:rPr>
                <w:rFonts w:cs="Times New Roman"/>
                <w:sz w:val="18"/>
                <w:szCs w:val="18"/>
              </w:rPr>
            </w:pPr>
            <w:r>
              <w:rPr>
                <w:rFonts w:cs="Times New Roman"/>
                <w:sz w:val="18"/>
                <w:szCs w:val="18"/>
              </w:rPr>
              <w:t>7</w:t>
            </w:r>
          </w:p>
        </w:tc>
        <w:tc>
          <w:tcPr>
            <w:tcW w:w="961" w:type="pct"/>
            <w:gridSpan w:val="2"/>
            <w:vAlign w:val="center"/>
          </w:tcPr>
          <w:p>
            <w:pPr>
              <w:ind w:firstLine="0" w:firstLineChars="0"/>
              <w:jc w:val="center"/>
              <w:rPr>
                <w:rFonts w:cs="Times New Roman"/>
                <w:sz w:val="18"/>
                <w:szCs w:val="18"/>
              </w:rPr>
            </w:pPr>
            <w:r>
              <w:rPr>
                <w:rFonts w:cs="Times New Roman"/>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 w:type="pct"/>
            <w:vMerge w:val="restart"/>
            <w:vAlign w:val="center"/>
          </w:tcPr>
          <w:p>
            <w:pPr>
              <w:ind w:firstLine="0" w:firstLineChars="0"/>
              <w:jc w:val="center"/>
              <w:rPr>
                <w:rFonts w:ascii="宋体" w:hAnsi="宋体" w:cs="宋体"/>
              </w:rPr>
            </w:pPr>
            <w:r>
              <w:rPr>
                <w:rFonts w:hint="eastAsia" w:ascii="宋体" w:hAnsi="宋体" w:cs="宋体"/>
              </w:rPr>
              <w:t>装配式混合框架结构</w:t>
            </w:r>
          </w:p>
        </w:tc>
        <w:tc>
          <w:tcPr>
            <w:tcW w:w="1137" w:type="pct"/>
            <w:vMerge w:val="restart"/>
            <w:vAlign w:val="center"/>
          </w:tcPr>
          <w:p>
            <w:pPr>
              <w:ind w:firstLine="0" w:firstLineChars="0"/>
              <w:jc w:val="center"/>
              <w:rPr>
                <w:rFonts w:cs="Times New Roman"/>
                <w:sz w:val="18"/>
                <w:szCs w:val="18"/>
              </w:rPr>
            </w:pPr>
            <w:r>
              <w:rPr>
                <w:rFonts w:cs="Times New Roman"/>
                <w:sz w:val="18"/>
                <w:szCs w:val="18"/>
              </w:rPr>
              <w:t>装配式钢管混凝土柱-钢筋混凝土梁结构</w:t>
            </w:r>
          </w:p>
          <w:p>
            <w:pPr>
              <w:ind w:firstLine="0" w:firstLineChars="0"/>
              <w:jc w:val="center"/>
              <w:rPr>
                <w:rFonts w:cs="Times New Roman"/>
                <w:sz w:val="18"/>
                <w:szCs w:val="18"/>
              </w:rPr>
            </w:pPr>
          </w:p>
        </w:tc>
        <w:tc>
          <w:tcPr>
            <w:tcW w:w="685" w:type="pct"/>
            <w:vAlign w:val="center"/>
          </w:tcPr>
          <w:p>
            <w:pPr>
              <w:ind w:firstLine="0" w:firstLineChars="0"/>
              <w:jc w:val="center"/>
              <w:rPr>
                <w:rFonts w:cs="Times New Roman"/>
                <w:sz w:val="18"/>
                <w:szCs w:val="18"/>
              </w:rPr>
            </w:pPr>
            <w:r>
              <w:rPr>
                <w:rFonts w:cs="Times New Roman"/>
                <w:sz w:val="18"/>
                <w:szCs w:val="18"/>
              </w:rPr>
              <w:t>高度（m）</w:t>
            </w:r>
          </w:p>
        </w:tc>
        <w:tc>
          <w:tcPr>
            <w:tcW w:w="479" w:type="pct"/>
            <w:vAlign w:val="center"/>
          </w:tcPr>
          <w:p>
            <w:pPr>
              <w:ind w:firstLine="0" w:firstLineChars="0"/>
              <w:jc w:val="center"/>
              <w:rPr>
                <w:rFonts w:cs="Times New Roman"/>
                <w:sz w:val="18"/>
                <w:szCs w:val="18"/>
              </w:rPr>
            </w:pPr>
            <w:r>
              <w:rPr>
                <w:rFonts w:cs="Times New Roman"/>
                <w:sz w:val="18"/>
                <w:szCs w:val="18"/>
              </w:rPr>
              <w:t>≤24</w:t>
            </w:r>
          </w:p>
        </w:tc>
        <w:tc>
          <w:tcPr>
            <w:tcW w:w="480" w:type="pct"/>
            <w:vAlign w:val="center"/>
          </w:tcPr>
          <w:p>
            <w:pPr>
              <w:ind w:firstLine="0" w:firstLineChars="0"/>
              <w:jc w:val="center"/>
              <w:rPr>
                <w:rFonts w:cs="Times New Roman"/>
                <w:sz w:val="18"/>
                <w:szCs w:val="18"/>
              </w:rPr>
            </w:pPr>
            <w:r>
              <w:rPr>
                <w:rFonts w:cs="Times New Roman"/>
                <w:sz w:val="18"/>
                <w:szCs w:val="18"/>
              </w:rPr>
              <w:t>&gt;24</w:t>
            </w:r>
          </w:p>
        </w:tc>
        <w:tc>
          <w:tcPr>
            <w:tcW w:w="480" w:type="pct"/>
            <w:vAlign w:val="center"/>
          </w:tcPr>
          <w:p>
            <w:pPr>
              <w:ind w:firstLine="0" w:firstLineChars="0"/>
              <w:jc w:val="center"/>
              <w:rPr>
                <w:rFonts w:cs="Times New Roman"/>
                <w:sz w:val="18"/>
                <w:szCs w:val="18"/>
              </w:rPr>
            </w:pPr>
            <w:r>
              <w:rPr>
                <w:rFonts w:cs="Times New Roman"/>
                <w:sz w:val="18"/>
                <w:szCs w:val="18"/>
              </w:rPr>
              <w:t>≤24</w:t>
            </w:r>
          </w:p>
        </w:tc>
        <w:tc>
          <w:tcPr>
            <w:tcW w:w="479" w:type="pct"/>
            <w:vAlign w:val="center"/>
          </w:tcPr>
          <w:p>
            <w:pPr>
              <w:ind w:firstLine="0" w:firstLineChars="0"/>
              <w:jc w:val="center"/>
              <w:rPr>
                <w:rFonts w:cs="Times New Roman"/>
                <w:sz w:val="18"/>
                <w:szCs w:val="18"/>
              </w:rPr>
            </w:pPr>
            <w:r>
              <w:rPr>
                <w:rFonts w:cs="Times New Roman"/>
                <w:sz w:val="18"/>
                <w:szCs w:val="18"/>
              </w:rPr>
              <w:t>&gt;24</w:t>
            </w:r>
          </w:p>
        </w:tc>
        <w:tc>
          <w:tcPr>
            <w:tcW w:w="480" w:type="pct"/>
            <w:vAlign w:val="center"/>
          </w:tcPr>
          <w:p>
            <w:pPr>
              <w:ind w:firstLine="0" w:firstLineChars="0"/>
              <w:jc w:val="center"/>
              <w:rPr>
                <w:rFonts w:cs="Times New Roman"/>
                <w:sz w:val="18"/>
                <w:szCs w:val="18"/>
              </w:rPr>
            </w:pPr>
            <w:r>
              <w:rPr>
                <w:rFonts w:cs="Times New Roman"/>
                <w:sz w:val="18"/>
                <w:szCs w:val="18"/>
              </w:rPr>
              <w:t>≤24</w:t>
            </w:r>
          </w:p>
        </w:tc>
        <w:tc>
          <w:tcPr>
            <w:tcW w:w="481" w:type="pct"/>
            <w:vAlign w:val="center"/>
          </w:tcPr>
          <w:p>
            <w:pPr>
              <w:ind w:firstLine="0" w:firstLineChars="0"/>
              <w:jc w:val="center"/>
              <w:rPr>
                <w:rFonts w:cs="Times New Roman"/>
                <w:sz w:val="18"/>
                <w:szCs w:val="18"/>
              </w:rPr>
            </w:pPr>
            <w:r>
              <w:rPr>
                <w:rFonts w:cs="Times New Roman"/>
                <w:sz w:val="18"/>
                <w:szCs w:val="18"/>
              </w:rPr>
              <w:t>&gt;24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 w:type="pct"/>
            <w:vMerge w:val="continue"/>
            <w:vAlign w:val="center"/>
          </w:tcPr>
          <w:p>
            <w:pPr>
              <w:ind w:firstLine="0" w:firstLineChars="0"/>
              <w:jc w:val="center"/>
            </w:pPr>
          </w:p>
        </w:tc>
        <w:tc>
          <w:tcPr>
            <w:tcW w:w="1137" w:type="pct"/>
            <w:vMerge w:val="continue"/>
            <w:vAlign w:val="center"/>
          </w:tcPr>
          <w:p>
            <w:pPr>
              <w:ind w:firstLine="0" w:firstLineChars="0"/>
              <w:jc w:val="center"/>
              <w:rPr>
                <w:rFonts w:cs="Times New Roman"/>
                <w:sz w:val="18"/>
                <w:szCs w:val="18"/>
              </w:rPr>
            </w:pPr>
          </w:p>
        </w:tc>
        <w:tc>
          <w:tcPr>
            <w:tcW w:w="685" w:type="pct"/>
            <w:vAlign w:val="center"/>
          </w:tcPr>
          <w:p>
            <w:pPr>
              <w:ind w:firstLine="0" w:firstLineChars="0"/>
              <w:jc w:val="center"/>
              <w:rPr>
                <w:rFonts w:cs="Times New Roman"/>
                <w:sz w:val="18"/>
                <w:szCs w:val="18"/>
              </w:rPr>
            </w:pPr>
            <w:r>
              <w:rPr>
                <w:rFonts w:cs="Times New Roman"/>
                <w:sz w:val="18"/>
                <w:szCs w:val="18"/>
              </w:rPr>
              <w:t>框架</w:t>
            </w:r>
          </w:p>
        </w:tc>
        <w:tc>
          <w:tcPr>
            <w:tcW w:w="479" w:type="pct"/>
            <w:vAlign w:val="center"/>
          </w:tcPr>
          <w:p>
            <w:pPr>
              <w:ind w:firstLine="0" w:firstLineChars="0"/>
              <w:jc w:val="center"/>
              <w:rPr>
                <w:rFonts w:cs="Times New Roman"/>
                <w:sz w:val="18"/>
                <w:szCs w:val="18"/>
              </w:rPr>
            </w:pPr>
            <w:r>
              <w:rPr>
                <w:rFonts w:cs="Times New Roman"/>
                <w:sz w:val="18"/>
                <w:szCs w:val="18"/>
              </w:rPr>
              <w:t>四</w:t>
            </w:r>
          </w:p>
        </w:tc>
        <w:tc>
          <w:tcPr>
            <w:tcW w:w="480" w:type="pct"/>
            <w:vAlign w:val="center"/>
          </w:tcPr>
          <w:p>
            <w:pPr>
              <w:ind w:firstLine="0" w:firstLineChars="0"/>
              <w:jc w:val="center"/>
              <w:rPr>
                <w:rFonts w:cs="Times New Roman"/>
                <w:sz w:val="18"/>
                <w:szCs w:val="18"/>
              </w:rPr>
            </w:pPr>
            <w:r>
              <w:rPr>
                <w:rFonts w:cs="Times New Roman"/>
                <w:sz w:val="18"/>
                <w:szCs w:val="18"/>
              </w:rPr>
              <w:t>三</w:t>
            </w:r>
          </w:p>
        </w:tc>
        <w:tc>
          <w:tcPr>
            <w:tcW w:w="480" w:type="pct"/>
            <w:vAlign w:val="center"/>
          </w:tcPr>
          <w:p>
            <w:pPr>
              <w:ind w:firstLine="0" w:firstLineChars="0"/>
              <w:jc w:val="center"/>
              <w:rPr>
                <w:rFonts w:cs="Times New Roman"/>
                <w:sz w:val="18"/>
                <w:szCs w:val="18"/>
              </w:rPr>
            </w:pPr>
            <w:r>
              <w:rPr>
                <w:rFonts w:cs="Times New Roman"/>
                <w:sz w:val="18"/>
                <w:szCs w:val="18"/>
              </w:rPr>
              <w:t>三</w:t>
            </w:r>
          </w:p>
        </w:tc>
        <w:tc>
          <w:tcPr>
            <w:tcW w:w="479" w:type="pct"/>
            <w:vAlign w:val="center"/>
          </w:tcPr>
          <w:p>
            <w:pPr>
              <w:ind w:firstLine="0" w:firstLineChars="0"/>
              <w:jc w:val="center"/>
              <w:rPr>
                <w:rFonts w:cs="Times New Roman"/>
                <w:sz w:val="18"/>
                <w:szCs w:val="18"/>
              </w:rPr>
            </w:pPr>
            <w:r>
              <w:rPr>
                <w:rFonts w:cs="Times New Roman"/>
                <w:sz w:val="18"/>
                <w:szCs w:val="18"/>
              </w:rPr>
              <w:t>二</w:t>
            </w:r>
          </w:p>
        </w:tc>
        <w:tc>
          <w:tcPr>
            <w:tcW w:w="480" w:type="pct"/>
            <w:vAlign w:val="center"/>
          </w:tcPr>
          <w:p>
            <w:pPr>
              <w:ind w:firstLine="0" w:firstLineChars="0"/>
              <w:jc w:val="center"/>
              <w:rPr>
                <w:rFonts w:cs="Times New Roman"/>
                <w:sz w:val="18"/>
                <w:szCs w:val="18"/>
              </w:rPr>
            </w:pPr>
            <w:r>
              <w:rPr>
                <w:rFonts w:cs="Times New Roman"/>
                <w:sz w:val="18"/>
                <w:szCs w:val="18"/>
              </w:rPr>
              <w:t>二</w:t>
            </w:r>
          </w:p>
        </w:tc>
        <w:tc>
          <w:tcPr>
            <w:tcW w:w="481" w:type="pct"/>
            <w:vAlign w:val="center"/>
          </w:tcPr>
          <w:p>
            <w:pPr>
              <w:ind w:firstLine="0" w:firstLineChars="0"/>
              <w:jc w:val="center"/>
              <w:rPr>
                <w:rFonts w:cs="Times New Roman"/>
                <w:sz w:val="18"/>
                <w:szCs w:val="18"/>
              </w:rPr>
            </w:pPr>
            <w:r>
              <w:rPr>
                <w:rFonts w:cs="Times New Roman"/>
                <w:sz w:val="18"/>
                <w:szCs w:val="18"/>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 w:type="pct"/>
            <w:vMerge w:val="continue"/>
            <w:vAlign w:val="center"/>
          </w:tcPr>
          <w:p>
            <w:pPr>
              <w:ind w:firstLine="0" w:firstLineChars="0"/>
              <w:jc w:val="center"/>
            </w:pPr>
          </w:p>
        </w:tc>
        <w:tc>
          <w:tcPr>
            <w:tcW w:w="1137" w:type="pct"/>
            <w:vMerge w:val="continue"/>
            <w:vAlign w:val="center"/>
          </w:tcPr>
          <w:p>
            <w:pPr>
              <w:ind w:firstLine="0" w:firstLineChars="0"/>
              <w:jc w:val="center"/>
              <w:rPr>
                <w:rFonts w:cs="Times New Roman"/>
                <w:sz w:val="18"/>
                <w:szCs w:val="18"/>
              </w:rPr>
            </w:pPr>
          </w:p>
        </w:tc>
        <w:tc>
          <w:tcPr>
            <w:tcW w:w="685" w:type="pct"/>
            <w:vAlign w:val="center"/>
          </w:tcPr>
          <w:p>
            <w:pPr>
              <w:ind w:firstLine="0" w:firstLineChars="0"/>
              <w:jc w:val="center"/>
              <w:rPr>
                <w:rFonts w:cs="Times New Roman"/>
                <w:sz w:val="18"/>
                <w:szCs w:val="18"/>
              </w:rPr>
            </w:pPr>
            <w:r>
              <w:rPr>
                <w:rFonts w:cs="Times New Roman"/>
                <w:sz w:val="18"/>
                <w:szCs w:val="18"/>
              </w:rPr>
              <w:t>大跨度框架</w:t>
            </w:r>
          </w:p>
        </w:tc>
        <w:tc>
          <w:tcPr>
            <w:tcW w:w="959" w:type="pct"/>
            <w:gridSpan w:val="2"/>
            <w:vAlign w:val="center"/>
          </w:tcPr>
          <w:p>
            <w:pPr>
              <w:ind w:firstLine="0" w:firstLineChars="0"/>
              <w:jc w:val="center"/>
              <w:rPr>
                <w:rFonts w:cs="Times New Roman"/>
                <w:sz w:val="18"/>
                <w:szCs w:val="18"/>
              </w:rPr>
            </w:pPr>
            <w:r>
              <w:rPr>
                <w:rFonts w:cs="Times New Roman"/>
                <w:sz w:val="18"/>
                <w:szCs w:val="18"/>
              </w:rPr>
              <w:t>三</w:t>
            </w:r>
          </w:p>
        </w:tc>
        <w:tc>
          <w:tcPr>
            <w:tcW w:w="959" w:type="pct"/>
            <w:gridSpan w:val="2"/>
            <w:vAlign w:val="center"/>
          </w:tcPr>
          <w:p>
            <w:pPr>
              <w:ind w:firstLine="0" w:firstLineChars="0"/>
              <w:jc w:val="center"/>
              <w:rPr>
                <w:rFonts w:cs="Times New Roman"/>
                <w:sz w:val="18"/>
                <w:szCs w:val="18"/>
              </w:rPr>
            </w:pPr>
            <w:r>
              <w:rPr>
                <w:rFonts w:cs="Times New Roman"/>
                <w:sz w:val="18"/>
                <w:szCs w:val="18"/>
              </w:rPr>
              <w:t>二</w:t>
            </w:r>
          </w:p>
        </w:tc>
        <w:tc>
          <w:tcPr>
            <w:tcW w:w="961" w:type="pct"/>
            <w:gridSpan w:val="2"/>
            <w:vAlign w:val="center"/>
          </w:tcPr>
          <w:p>
            <w:pPr>
              <w:ind w:firstLine="0" w:firstLineChars="0"/>
              <w:jc w:val="center"/>
              <w:rPr>
                <w:rFonts w:cs="Times New Roman"/>
                <w:sz w:val="18"/>
                <w:szCs w:val="18"/>
              </w:rPr>
            </w:pPr>
            <w:r>
              <w:rPr>
                <w:rFonts w:cs="Times New Roman"/>
                <w:sz w:val="18"/>
                <w:szCs w:val="18"/>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 w:type="pct"/>
            <w:vMerge w:val="continue"/>
            <w:vAlign w:val="center"/>
          </w:tcPr>
          <w:p>
            <w:pPr>
              <w:ind w:firstLine="0" w:firstLineChars="0"/>
              <w:jc w:val="center"/>
            </w:pPr>
          </w:p>
        </w:tc>
        <w:tc>
          <w:tcPr>
            <w:tcW w:w="1137" w:type="pct"/>
            <w:vMerge w:val="restart"/>
            <w:vAlign w:val="center"/>
          </w:tcPr>
          <w:p>
            <w:pPr>
              <w:ind w:firstLine="0" w:firstLineChars="0"/>
              <w:jc w:val="center"/>
              <w:rPr>
                <w:rFonts w:cs="Times New Roman"/>
                <w:sz w:val="18"/>
                <w:szCs w:val="18"/>
              </w:rPr>
            </w:pPr>
            <w:r>
              <w:rPr>
                <w:rFonts w:cs="Times New Roman"/>
                <w:sz w:val="18"/>
                <w:szCs w:val="18"/>
              </w:rPr>
              <w:t>装配式钢筋混凝土柱-钢梁结构</w:t>
            </w:r>
          </w:p>
        </w:tc>
        <w:tc>
          <w:tcPr>
            <w:tcW w:w="685" w:type="pct"/>
            <w:vAlign w:val="center"/>
          </w:tcPr>
          <w:p>
            <w:pPr>
              <w:ind w:firstLine="0" w:firstLineChars="0"/>
              <w:jc w:val="center"/>
              <w:rPr>
                <w:rFonts w:cs="Times New Roman"/>
                <w:sz w:val="18"/>
                <w:szCs w:val="18"/>
              </w:rPr>
            </w:pPr>
            <w:r>
              <w:rPr>
                <w:rFonts w:cs="Times New Roman"/>
                <w:sz w:val="18"/>
                <w:szCs w:val="18"/>
              </w:rPr>
              <w:t>高度（m）</w:t>
            </w:r>
          </w:p>
        </w:tc>
        <w:tc>
          <w:tcPr>
            <w:tcW w:w="479" w:type="pct"/>
            <w:vAlign w:val="center"/>
          </w:tcPr>
          <w:p>
            <w:pPr>
              <w:ind w:firstLine="0" w:firstLineChars="0"/>
              <w:jc w:val="center"/>
              <w:rPr>
                <w:rFonts w:cs="Times New Roman"/>
                <w:sz w:val="18"/>
                <w:szCs w:val="18"/>
              </w:rPr>
            </w:pPr>
            <w:r>
              <w:rPr>
                <w:rFonts w:cs="Times New Roman"/>
                <w:sz w:val="18"/>
                <w:szCs w:val="18"/>
              </w:rPr>
              <w:t>≤30</w:t>
            </w:r>
          </w:p>
        </w:tc>
        <w:tc>
          <w:tcPr>
            <w:tcW w:w="480" w:type="pct"/>
            <w:vAlign w:val="center"/>
          </w:tcPr>
          <w:p>
            <w:pPr>
              <w:ind w:firstLine="0" w:firstLineChars="0"/>
              <w:jc w:val="center"/>
              <w:rPr>
                <w:rFonts w:cs="Times New Roman"/>
                <w:sz w:val="18"/>
                <w:szCs w:val="18"/>
              </w:rPr>
            </w:pPr>
            <w:r>
              <w:rPr>
                <w:rFonts w:cs="Times New Roman"/>
                <w:sz w:val="18"/>
                <w:szCs w:val="18"/>
              </w:rPr>
              <w:t>&gt;30</w:t>
            </w:r>
          </w:p>
        </w:tc>
        <w:tc>
          <w:tcPr>
            <w:tcW w:w="480" w:type="pct"/>
            <w:vAlign w:val="center"/>
          </w:tcPr>
          <w:p>
            <w:pPr>
              <w:ind w:firstLine="0" w:firstLineChars="0"/>
              <w:jc w:val="center"/>
              <w:rPr>
                <w:rFonts w:cs="Times New Roman"/>
                <w:sz w:val="18"/>
                <w:szCs w:val="18"/>
              </w:rPr>
            </w:pPr>
            <w:r>
              <w:rPr>
                <w:rFonts w:cs="Times New Roman"/>
                <w:sz w:val="18"/>
                <w:szCs w:val="18"/>
              </w:rPr>
              <w:t>≤30</w:t>
            </w:r>
          </w:p>
        </w:tc>
        <w:tc>
          <w:tcPr>
            <w:tcW w:w="479" w:type="pct"/>
            <w:vAlign w:val="center"/>
          </w:tcPr>
          <w:p>
            <w:pPr>
              <w:ind w:firstLine="0" w:firstLineChars="0"/>
              <w:jc w:val="center"/>
              <w:rPr>
                <w:rFonts w:cs="Times New Roman"/>
                <w:sz w:val="18"/>
                <w:szCs w:val="18"/>
              </w:rPr>
            </w:pPr>
            <w:r>
              <w:rPr>
                <w:rFonts w:cs="Times New Roman"/>
                <w:sz w:val="18"/>
                <w:szCs w:val="18"/>
              </w:rPr>
              <w:t>&gt;30</w:t>
            </w:r>
          </w:p>
        </w:tc>
        <w:tc>
          <w:tcPr>
            <w:tcW w:w="480" w:type="pct"/>
            <w:vAlign w:val="center"/>
          </w:tcPr>
          <w:p>
            <w:pPr>
              <w:ind w:firstLine="0" w:firstLineChars="0"/>
              <w:jc w:val="center"/>
              <w:rPr>
                <w:rFonts w:cs="Times New Roman"/>
                <w:sz w:val="18"/>
                <w:szCs w:val="18"/>
              </w:rPr>
            </w:pPr>
            <w:r>
              <w:rPr>
                <w:rFonts w:cs="Times New Roman"/>
                <w:sz w:val="18"/>
                <w:szCs w:val="18"/>
              </w:rPr>
              <w:t>≤30</w:t>
            </w:r>
          </w:p>
        </w:tc>
        <w:tc>
          <w:tcPr>
            <w:tcW w:w="481" w:type="pct"/>
            <w:vAlign w:val="center"/>
          </w:tcPr>
          <w:p>
            <w:pPr>
              <w:ind w:firstLine="0" w:firstLineChars="0"/>
              <w:jc w:val="center"/>
              <w:rPr>
                <w:rFonts w:cs="Times New Roman"/>
                <w:sz w:val="18"/>
                <w:szCs w:val="18"/>
              </w:rPr>
            </w:pPr>
            <w:r>
              <w:rPr>
                <w:rFonts w:cs="Times New Roman"/>
                <w:sz w:val="18"/>
                <w:szCs w:val="18"/>
              </w:rPr>
              <w:t>&gt;30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 w:type="pct"/>
            <w:vMerge w:val="continue"/>
            <w:vAlign w:val="center"/>
          </w:tcPr>
          <w:p>
            <w:pPr>
              <w:ind w:firstLine="0" w:firstLineChars="0"/>
              <w:jc w:val="center"/>
            </w:pPr>
          </w:p>
        </w:tc>
        <w:tc>
          <w:tcPr>
            <w:tcW w:w="1137" w:type="pct"/>
            <w:vMerge w:val="continue"/>
            <w:vAlign w:val="center"/>
          </w:tcPr>
          <w:p>
            <w:pPr>
              <w:ind w:firstLine="0" w:firstLineChars="0"/>
              <w:jc w:val="center"/>
              <w:rPr>
                <w:rFonts w:cs="Times New Roman"/>
                <w:sz w:val="18"/>
                <w:szCs w:val="18"/>
              </w:rPr>
            </w:pPr>
          </w:p>
        </w:tc>
        <w:tc>
          <w:tcPr>
            <w:tcW w:w="685" w:type="pct"/>
            <w:vAlign w:val="center"/>
          </w:tcPr>
          <w:p>
            <w:pPr>
              <w:ind w:firstLine="0" w:firstLineChars="0"/>
              <w:jc w:val="center"/>
              <w:rPr>
                <w:rFonts w:cs="Times New Roman"/>
                <w:sz w:val="18"/>
                <w:szCs w:val="18"/>
              </w:rPr>
            </w:pPr>
            <w:r>
              <w:rPr>
                <w:rFonts w:cs="Times New Roman"/>
                <w:sz w:val="18"/>
                <w:szCs w:val="18"/>
              </w:rPr>
              <w:t>框架</w:t>
            </w:r>
          </w:p>
        </w:tc>
        <w:tc>
          <w:tcPr>
            <w:tcW w:w="479" w:type="pct"/>
            <w:vAlign w:val="center"/>
          </w:tcPr>
          <w:p>
            <w:pPr>
              <w:ind w:firstLine="0" w:firstLineChars="0"/>
              <w:jc w:val="center"/>
              <w:rPr>
                <w:rFonts w:cs="Times New Roman"/>
                <w:sz w:val="18"/>
                <w:szCs w:val="18"/>
              </w:rPr>
            </w:pPr>
            <w:r>
              <w:rPr>
                <w:rFonts w:cs="Times New Roman"/>
                <w:sz w:val="18"/>
                <w:szCs w:val="18"/>
              </w:rPr>
              <w:t>四</w:t>
            </w:r>
          </w:p>
        </w:tc>
        <w:tc>
          <w:tcPr>
            <w:tcW w:w="480" w:type="pct"/>
            <w:vAlign w:val="center"/>
          </w:tcPr>
          <w:p>
            <w:pPr>
              <w:ind w:firstLine="0" w:firstLineChars="0"/>
              <w:jc w:val="center"/>
              <w:rPr>
                <w:rFonts w:cs="Times New Roman"/>
                <w:sz w:val="18"/>
                <w:szCs w:val="18"/>
              </w:rPr>
            </w:pPr>
            <w:r>
              <w:rPr>
                <w:rFonts w:cs="Times New Roman"/>
                <w:sz w:val="18"/>
                <w:szCs w:val="18"/>
              </w:rPr>
              <w:t>三</w:t>
            </w:r>
          </w:p>
        </w:tc>
        <w:tc>
          <w:tcPr>
            <w:tcW w:w="480" w:type="pct"/>
            <w:vAlign w:val="center"/>
          </w:tcPr>
          <w:p>
            <w:pPr>
              <w:ind w:firstLine="0" w:firstLineChars="0"/>
              <w:jc w:val="center"/>
              <w:rPr>
                <w:rFonts w:cs="Times New Roman"/>
                <w:sz w:val="18"/>
                <w:szCs w:val="18"/>
              </w:rPr>
            </w:pPr>
            <w:r>
              <w:rPr>
                <w:rFonts w:cs="Times New Roman"/>
                <w:sz w:val="18"/>
                <w:szCs w:val="18"/>
              </w:rPr>
              <w:t>三</w:t>
            </w:r>
          </w:p>
        </w:tc>
        <w:tc>
          <w:tcPr>
            <w:tcW w:w="479" w:type="pct"/>
            <w:vAlign w:val="center"/>
          </w:tcPr>
          <w:p>
            <w:pPr>
              <w:ind w:firstLine="0" w:firstLineChars="0"/>
              <w:jc w:val="center"/>
              <w:rPr>
                <w:rFonts w:cs="Times New Roman"/>
                <w:sz w:val="18"/>
                <w:szCs w:val="18"/>
              </w:rPr>
            </w:pPr>
            <w:r>
              <w:rPr>
                <w:rFonts w:cs="Times New Roman"/>
                <w:sz w:val="18"/>
                <w:szCs w:val="18"/>
              </w:rPr>
              <w:t>二</w:t>
            </w:r>
          </w:p>
        </w:tc>
        <w:tc>
          <w:tcPr>
            <w:tcW w:w="480" w:type="pct"/>
            <w:vAlign w:val="center"/>
          </w:tcPr>
          <w:p>
            <w:pPr>
              <w:ind w:firstLine="0" w:firstLineChars="0"/>
              <w:jc w:val="center"/>
              <w:rPr>
                <w:rFonts w:cs="Times New Roman"/>
                <w:sz w:val="18"/>
                <w:szCs w:val="18"/>
              </w:rPr>
            </w:pPr>
            <w:r>
              <w:rPr>
                <w:rFonts w:cs="Times New Roman"/>
                <w:sz w:val="18"/>
                <w:szCs w:val="18"/>
              </w:rPr>
              <w:t>二</w:t>
            </w:r>
          </w:p>
        </w:tc>
        <w:tc>
          <w:tcPr>
            <w:tcW w:w="481" w:type="pct"/>
            <w:vAlign w:val="center"/>
          </w:tcPr>
          <w:p>
            <w:pPr>
              <w:ind w:firstLine="0" w:firstLineChars="0"/>
              <w:jc w:val="center"/>
              <w:rPr>
                <w:rFonts w:cs="Times New Roman"/>
                <w:sz w:val="18"/>
                <w:szCs w:val="18"/>
              </w:rPr>
            </w:pPr>
            <w:r>
              <w:rPr>
                <w:rFonts w:cs="Times New Roman"/>
                <w:sz w:val="18"/>
                <w:szCs w:val="18"/>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 w:type="pct"/>
            <w:vMerge w:val="continue"/>
            <w:vAlign w:val="center"/>
          </w:tcPr>
          <w:p>
            <w:pPr>
              <w:ind w:firstLine="0" w:firstLineChars="0"/>
              <w:jc w:val="center"/>
            </w:pPr>
          </w:p>
        </w:tc>
        <w:tc>
          <w:tcPr>
            <w:tcW w:w="1137" w:type="pct"/>
            <w:vMerge w:val="continue"/>
            <w:vAlign w:val="center"/>
          </w:tcPr>
          <w:p>
            <w:pPr>
              <w:ind w:firstLine="0" w:firstLineChars="0"/>
              <w:jc w:val="center"/>
              <w:rPr>
                <w:rFonts w:cs="Times New Roman"/>
                <w:sz w:val="18"/>
                <w:szCs w:val="18"/>
              </w:rPr>
            </w:pPr>
          </w:p>
        </w:tc>
        <w:tc>
          <w:tcPr>
            <w:tcW w:w="685" w:type="pct"/>
            <w:shd w:val="clear" w:color="auto" w:fill="auto"/>
            <w:vAlign w:val="center"/>
          </w:tcPr>
          <w:p>
            <w:pPr>
              <w:ind w:firstLine="0" w:firstLineChars="0"/>
              <w:jc w:val="center"/>
              <w:rPr>
                <w:rFonts w:cs="Times New Roman"/>
                <w:sz w:val="18"/>
                <w:szCs w:val="18"/>
              </w:rPr>
            </w:pPr>
            <w:r>
              <w:rPr>
                <w:rFonts w:cs="Times New Roman"/>
                <w:sz w:val="18"/>
                <w:szCs w:val="18"/>
              </w:rPr>
              <w:t>大跨度框架</w:t>
            </w:r>
          </w:p>
        </w:tc>
        <w:tc>
          <w:tcPr>
            <w:tcW w:w="959" w:type="pct"/>
            <w:gridSpan w:val="2"/>
            <w:shd w:val="clear" w:color="auto" w:fill="auto"/>
            <w:vAlign w:val="center"/>
          </w:tcPr>
          <w:p>
            <w:pPr>
              <w:ind w:firstLine="0" w:firstLineChars="0"/>
              <w:jc w:val="center"/>
              <w:rPr>
                <w:rFonts w:cs="Times New Roman"/>
                <w:sz w:val="18"/>
                <w:szCs w:val="18"/>
              </w:rPr>
            </w:pPr>
            <w:r>
              <w:rPr>
                <w:rFonts w:cs="Times New Roman"/>
                <w:sz w:val="18"/>
                <w:szCs w:val="18"/>
              </w:rPr>
              <w:t>三</w:t>
            </w:r>
          </w:p>
        </w:tc>
        <w:tc>
          <w:tcPr>
            <w:tcW w:w="959" w:type="pct"/>
            <w:gridSpan w:val="2"/>
            <w:shd w:val="clear" w:color="auto" w:fill="auto"/>
            <w:vAlign w:val="center"/>
          </w:tcPr>
          <w:p>
            <w:pPr>
              <w:ind w:firstLine="0" w:firstLineChars="0"/>
              <w:jc w:val="center"/>
              <w:rPr>
                <w:rFonts w:cs="Times New Roman"/>
                <w:sz w:val="18"/>
                <w:szCs w:val="18"/>
              </w:rPr>
            </w:pPr>
            <w:r>
              <w:rPr>
                <w:rFonts w:cs="Times New Roman"/>
                <w:sz w:val="18"/>
                <w:szCs w:val="18"/>
              </w:rPr>
              <w:t>二</w:t>
            </w:r>
          </w:p>
        </w:tc>
        <w:tc>
          <w:tcPr>
            <w:tcW w:w="961" w:type="pct"/>
            <w:gridSpan w:val="2"/>
            <w:vAlign w:val="center"/>
          </w:tcPr>
          <w:p>
            <w:pPr>
              <w:ind w:firstLine="0" w:firstLineChars="0"/>
              <w:jc w:val="center"/>
              <w:rPr>
                <w:rFonts w:cs="Times New Roman"/>
                <w:sz w:val="18"/>
                <w:szCs w:val="18"/>
              </w:rPr>
            </w:pPr>
            <w:r>
              <w:rPr>
                <w:rFonts w:cs="Times New Roman"/>
                <w:sz w:val="18"/>
                <w:szCs w:val="18"/>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 w:type="pct"/>
            <w:gridSpan w:val="9"/>
            <w:vAlign w:val="center"/>
          </w:tcPr>
          <w:p>
            <w:pPr>
              <w:spacing w:line="240" w:lineRule="auto"/>
              <w:ind w:left="540" w:hanging="540" w:hangingChars="300"/>
              <w:jc w:val="left"/>
              <w:rPr>
                <w:rFonts w:cs="Times New Roman"/>
                <w:sz w:val="18"/>
                <w:szCs w:val="18"/>
              </w:rPr>
            </w:pPr>
            <w:r>
              <w:rPr>
                <w:rFonts w:cs="Times New Roman"/>
                <w:sz w:val="18"/>
                <w:szCs w:val="18"/>
              </w:rPr>
              <w:t>注：1</w:t>
            </w:r>
            <w:r>
              <w:rPr>
                <w:rFonts w:cs="Times New Roman"/>
                <w:color w:val="000000"/>
                <w:sz w:val="18"/>
                <w:szCs w:val="18"/>
              </w:rPr>
              <w:t>、</w:t>
            </w:r>
            <w:r>
              <w:rPr>
                <w:rFonts w:cs="Times New Roman"/>
                <w:sz w:val="18"/>
                <w:szCs w:val="18"/>
              </w:rPr>
              <w:t>装配式混合框架-现浇剪力墙结构及装配式混合框架-现浇核心筒结构中框架，其抗震等级可按现行国家标准</w:t>
            </w:r>
            <w:r>
              <w:rPr>
                <w:rFonts w:cs="Times New Roman"/>
                <w:sz w:val="18"/>
                <w:szCs w:val="18"/>
                <w:lang w:val="zh-CN"/>
              </w:rPr>
              <w:t>《建筑抗震设计</w:t>
            </w:r>
            <w:r>
              <w:rPr>
                <w:rFonts w:cs="Times New Roman"/>
                <w:sz w:val="18"/>
                <w:szCs w:val="18"/>
              </w:rPr>
              <w:t>标准</w:t>
            </w:r>
            <w:r>
              <w:rPr>
                <w:rFonts w:cs="Times New Roman"/>
                <w:sz w:val="18"/>
                <w:szCs w:val="18"/>
                <w:lang w:val="zh-CN"/>
              </w:rPr>
              <w:t>》、《高层建筑混凝土结构技术规程》</w:t>
            </w:r>
            <w:r>
              <w:rPr>
                <w:rFonts w:cs="Times New Roman"/>
                <w:sz w:val="18"/>
                <w:szCs w:val="18"/>
              </w:rPr>
              <w:t>规定执行。</w:t>
            </w:r>
          </w:p>
        </w:tc>
      </w:tr>
    </w:tbl>
    <w:p>
      <w:pPr>
        <w:pStyle w:val="4"/>
        <w:keepNext w:val="0"/>
        <w:keepLines w:val="0"/>
        <w:spacing w:before="120" w:beforeLines="50"/>
        <w:ind w:right="0" w:rightChars="0"/>
        <w:rPr>
          <w:rFonts w:ascii="宋体" w:hAnsi="宋体" w:cs="宋体"/>
        </w:rPr>
      </w:pPr>
      <w:r>
        <w:rPr>
          <w:rFonts w:hint="eastAsia" w:ascii="宋体" w:hAnsi="宋体" w:cs="宋体"/>
        </w:rPr>
        <w:t>装配式混合框架结构在风荷载或多遇地震作用下，最大弹性层间位移角不宜大于表</w:t>
      </w:r>
      <w:r>
        <w:rPr>
          <w:rFonts w:ascii="宋体" w:hAnsi="宋体" w:cs="宋体"/>
        </w:rPr>
        <w:t>3</w:t>
      </w:r>
      <w:r>
        <w:rPr>
          <w:rFonts w:hint="eastAsia" w:ascii="宋体" w:hAnsi="宋体" w:cs="宋体"/>
        </w:rPr>
        <w:t>限值。</w:t>
      </w:r>
    </w:p>
    <w:p>
      <w:pPr>
        <w:spacing w:line="400" w:lineRule="exact"/>
        <w:ind w:left="420" w:hanging="420" w:hangingChars="200"/>
        <w:jc w:val="center"/>
        <w:rPr>
          <w:rFonts w:ascii="黑体" w:hAnsi="黑体" w:eastAsia="黑体" w:cs="宋体"/>
        </w:rPr>
      </w:pPr>
      <w:r>
        <w:rPr>
          <w:rFonts w:hint="eastAsia" w:ascii="黑体" w:hAnsi="黑体" w:eastAsia="黑体"/>
          <w:bCs/>
        </w:rPr>
        <w:t>表</w:t>
      </w:r>
      <w:r>
        <w:rPr>
          <w:rFonts w:ascii="黑体" w:hAnsi="黑体" w:eastAsia="黑体"/>
          <w:bCs/>
        </w:rPr>
        <w:t>3</w:t>
      </w:r>
      <w:r>
        <w:rPr>
          <w:rFonts w:hint="eastAsia" w:ascii="黑体" w:hAnsi="黑体" w:eastAsia="黑体" w:cs="黑体"/>
        </w:rPr>
        <w:t>　</w:t>
      </w:r>
      <w:r>
        <w:rPr>
          <w:rFonts w:hint="eastAsia" w:ascii="黑体" w:hAnsi="黑体" w:eastAsia="黑体" w:cs="宋体"/>
        </w:rPr>
        <w:t>装配式混合框架结构最大弹性层间位移角限值</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7"/>
        <w:gridCol w:w="3074"/>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0" w:type="pct"/>
            <w:gridSpan w:val="2"/>
            <w:vAlign w:val="center"/>
          </w:tcPr>
          <w:p>
            <w:pPr>
              <w:spacing w:line="240" w:lineRule="auto"/>
              <w:ind w:firstLine="360"/>
              <w:jc w:val="center"/>
              <w:rPr>
                <w:rFonts w:cs="Times New Roman"/>
                <w:kern w:val="0"/>
                <w:sz w:val="18"/>
                <w:szCs w:val="18"/>
              </w:rPr>
            </w:pPr>
            <w:r>
              <w:rPr>
                <w:rFonts w:cs="Times New Roman"/>
                <w:kern w:val="0"/>
                <w:sz w:val="18"/>
                <w:szCs w:val="18"/>
              </w:rPr>
              <w:t>结构类型</w:t>
            </w:r>
          </w:p>
        </w:tc>
        <w:tc>
          <w:tcPr>
            <w:tcW w:w="1520" w:type="pct"/>
            <w:vAlign w:val="center"/>
          </w:tcPr>
          <w:p>
            <w:pPr>
              <w:spacing w:line="240" w:lineRule="auto"/>
              <w:ind w:firstLine="360"/>
              <w:jc w:val="center"/>
              <w:rPr>
                <w:rFonts w:cs="Times New Roman"/>
                <w:kern w:val="0"/>
                <w:sz w:val="18"/>
                <w:szCs w:val="18"/>
              </w:rPr>
            </w:pPr>
            <w:r>
              <w:rPr>
                <w:rFonts w:cs="Times New Roman"/>
                <w:kern w:val="0"/>
                <w:sz w:val="18"/>
                <w:szCs w:val="18"/>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4" w:type="pct"/>
            <w:vMerge w:val="restart"/>
            <w:vAlign w:val="center"/>
          </w:tcPr>
          <w:p>
            <w:pPr>
              <w:ind w:firstLine="360"/>
              <w:jc w:val="center"/>
              <w:rPr>
                <w:rFonts w:cs="Times New Roman"/>
                <w:kern w:val="0"/>
                <w:sz w:val="18"/>
                <w:szCs w:val="18"/>
              </w:rPr>
            </w:pPr>
            <w:r>
              <w:rPr>
                <w:rFonts w:cs="Times New Roman"/>
                <w:kern w:val="0"/>
                <w:sz w:val="18"/>
                <w:szCs w:val="18"/>
              </w:rPr>
              <w:t>装配式混合框架结构</w:t>
            </w:r>
          </w:p>
        </w:tc>
        <w:tc>
          <w:tcPr>
            <w:tcW w:w="1606" w:type="pct"/>
            <w:vAlign w:val="center"/>
          </w:tcPr>
          <w:p>
            <w:pPr>
              <w:spacing w:line="240" w:lineRule="auto"/>
              <w:ind w:firstLine="0" w:firstLineChars="0"/>
              <w:jc w:val="center"/>
              <w:rPr>
                <w:rFonts w:cs="Times New Roman"/>
                <w:kern w:val="0"/>
                <w:sz w:val="18"/>
                <w:szCs w:val="18"/>
              </w:rPr>
            </w:pPr>
            <w:r>
              <w:rPr>
                <w:rFonts w:cs="Times New Roman"/>
                <w:kern w:val="0"/>
                <w:sz w:val="18"/>
                <w:szCs w:val="18"/>
              </w:rPr>
              <w:t>装配式钢管混凝土柱-钢筋混凝土梁结构</w:t>
            </w:r>
          </w:p>
        </w:tc>
        <w:tc>
          <w:tcPr>
            <w:tcW w:w="1520" w:type="pct"/>
            <w:vAlign w:val="center"/>
          </w:tcPr>
          <w:p>
            <w:pPr>
              <w:spacing w:line="240" w:lineRule="auto"/>
              <w:ind w:firstLine="360"/>
              <w:jc w:val="center"/>
              <w:rPr>
                <w:rFonts w:cs="Times New Roman"/>
                <w:kern w:val="0"/>
                <w:sz w:val="18"/>
                <w:szCs w:val="18"/>
              </w:rPr>
            </w:pPr>
            <w:r>
              <w:rPr>
                <w:rFonts w:cs="Times New Roman"/>
                <w:kern w:val="0"/>
                <w:sz w:val="18"/>
                <w:szCs w:val="18"/>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4" w:type="pct"/>
            <w:vMerge w:val="continue"/>
            <w:vAlign w:val="center"/>
          </w:tcPr>
          <w:p>
            <w:pPr>
              <w:ind w:firstLine="360"/>
              <w:jc w:val="center"/>
              <w:rPr>
                <w:rFonts w:cs="Times New Roman"/>
                <w:kern w:val="0"/>
                <w:sz w:val="18"/>
                <w:szCs w:val="18"/>
              </w:rPr>
            </w:pPr>
          </w:p>
        </w:tc>
        <w:tc>
          <w:tcPr>
            <w:tcW w:w="1606" w:type="pct"/>
            <w:vAlign w:val="center"/>
          </w:tcPr>
          <w:p>
            <w:pPr>
              <w:spacing w:line="240" w:lineRule="auto"/>
              <w:ind w:firstLine="360"/>
              <w:jc w:val="center"/>
              <w:rPr>
                <w:rFonts w:cs="Times New Roman"/>
                <w:kern w:val="0"/>
                <w:sz w:val="18"/>
                <w:szCs w:val="18"/>
              </w:rPr>
            </w:pPr>
            <w:r>
              <w:rPr>
                <w:rFonts w:cs="Times New Roman"/>
                <w:kern w:val="0"/>
                <w:sz w:val="18"/>
                <w:szCs w:val="18"/>
              </w:rPr>
              <w:t>装配式钢筋混凝土柱-钢梁结构</w:t>
            </w:r>
          </w:p>
        </w:tc>
        <w:tc>
          <w:tcPr>
            <w:tcW w:w="1520" w:type="pct"/>
            <w:vAlign w:val="center"/>
          </w:tcPr>
          <w:p>
            <w:pPr>
              <w:spacing w:line="240" w:lineRule="auto"/>
              <w:ind w:firstLine="360"/>
              <w:jc w:val="center"/>
              <w:rPr>
                <w:rFonts w:cs="Times New Roman"/>
                <w:kern w:val="0"/>
                <w:sz w:val="18"/>
                <w:szCs w:val="18"/>
              </w:rPr>
            </w:pPr>
            <w:r>
              <w:rPr>
                <w:rFonts w:cs="Times New Roman"/>
                <w:kern w:val="0"/>
                <w:sz w:val="18"/>
                <w:szCs w:val="18"/>
              </w:rPr>
              <w:t>1/400</w:t>
            </w:r>
          </w:p>
        </w:tc>
      </w:tr>
    </w:tbl>
    <w:p>
      <w:pPr>
        <w:pStyle w:val="4"/>
        <w:keepNext w:val="0"/>
        <w:keepLines w:val="0"/>
        <w:ind w:right="210"/>
      </w:pPr>
      <w:r>
        <w:rPr>
          <w:rFonts w:hint="eastAsia" w:ascii="宋体" w:hAnsi="宋体" w:cs="宋体"/>
        </w:rPr>
        <w:t>装配式混合框架结构在罕遇地震作用下，最大弹塑性层间位移角不应大于1</w:t>
      </w:r>
      <w:r>
        <w:rPr>
          <w:rFonts w:ascii="宋体" w:hAnsi="宋体" w:cs="宋体"/>
        </w:rPr>
        <w:t>/50</w:t>
      </w:r>
      <w:r>
        <w:rPr>
          <w:rFonts w:hint="eastAsia" w:ascii="宋体" w:hAnsi="宋体" w:cs="宋体"/>
        </w:rPr>
        <w:t>。</w:t>
      </w:r>
    </w:p>
    <w:p>
      <w:pPr>
        <w:pStyle w:val="4"/>
        <w:keepNext w:val="0"/>
        <w:keepLines w:val="0"/>
        <w:ind w:right="210"/>
      </w:pPr>
      <w:r>
        <w:rPr>
          <w:rFonts w:hint="eastAsia" w:ascii="宋体" w:hAnsi="宋体" w:cs="宋体"/>
        </w:rPr>
        <w:t>装配式混合框架结构抗震计算时，多遇地震下阻尼比可取0.04～0.05；</w:t>
      </w:r>
      <w:r>
        <w:rPr>
          <w:rFonts w:hint="eastAsia" w:ascii="宋体" w:hAnsi="宋体" w:cs="宋体"/>
          <w:lang w:val="zh-CN"/>
        </w:rPr>
        <w:t>风荷载作用下楼层位移验算和构件设计时，阻尼比可取为0.02～0.04；结构舒适度验算时的阻尼比可取</w:t>
      </w:r>
      <w:r>
        <w:rPr>
          <w:rFonts w:hint="eastAsia" w:ascii="宋体" w:hAnsi="宋体" w:cs="宋体"/>
        </w:rPr>
        <w:t xml:space="preserve"> </w:t>
      </w:r>
      <w:r>
        <w:rPr>
          <w:rFonts w:hint="eastAsia" w:ascii="宋体" w:hAnsi="宋体" w:cs="宋体"/>
          <w:lang w:val="zh-CN"/>
        </w:rPr>
        <w:t>0.01～0.02。</w:t>
      </w:r>
    </w:p>
    <w:p>
      <w:pPr>
        <w:pStyle w:val="4"/>
        <w:keepNext w:val="0"/>
        <w:keepLines w:val="0"/>
        <w:ind w:right="210"/>
      </w:pPr>
      <w:bookmarkStart w:id="111" w:name="_Toc3892"/>
      <w:r>
        <w:rPr>
          <w:rFonts w:hint="eastAsia" w:ascii="宋体" w:hAnsi="宋体" w:cs="宋体"/>
        </w:rPr>
        <w:t>设置防震缝时，应符合下列规定：</w:t>
      </w:r>
      <w:bookmarkEnd w:id="111"/>
    </w:p>
    <w:p>
      <w:pPr>
        <w:numPr>
          <w:ilvl w:val="0"/>
          <w:numId w:val="21"/>
        </w:numPr>
        <w:ind w:left="0" w:firstLine="420"/>
      </w:pPr>
      <w:r>
        <w:rPr>
          <w:rFonts w:hint="eastAsia"/>
        </w:rPr>
        <w:t>装配式混合框架结构房屋，高度不超过 15m 时不应小于100mm；超过15m时，6度、7度、8度分别每增加高度5m、4m、3m宜加宽20mm。</w:t>
      </w:r>
    </w:p>
    <w:p>
      <w:pPr>
        <w:numPr>
          <w:ilvl w:val="0"/>
          <w:numId w:val="21"/>
        </w:numPr>
        <w:ind w:left="0" w:firstLine="420"/>
      </w:pPr>
      <w:r>
        <w:rPr>
          <w:rFonts w:hint="eastAsia"/>
        </w:rPr>
        <w:t>防震逢两侧结构体系不同时，防震逢宽度取较大值；防震逢两侧的房屋高度不同时，防震逢宽度可按较低的房屋高度确定。</w:t>
      </w:r>
    </w:p>
    <w:p>
      <w:pPr>
        <w:pStyle w:val="4"/>
        <w:keepNext w:val="0"/>
        <w:keepLines w:val="0"/>
        <w:ind w:right="210"/>
        <w:rPr>
          <w:rFonts w:ascii="宋体" w:hAnsi="宋体" w:cs="宋体"/>
          <w:color w:val="5B9BD5" w:themeColor="accent1"/>
          <w14:textFill>
            <w14:solidFill>
              <w14:schemeClr w14:val="accent1"/>
            </w14:solidFill>
          </w14:textFill>
        </w:rPr>
      </w:pPr>
      <w:r>
        <w:rPr>
          <w:rFonts w:hint="eastAsia"/>
        </w:rPr>
        <w:t>装配式混合框架结构</w:t>
      </w:r>
      <w:r>
        <w:rPr>
          <w:rFonts w:hint="eastAsia" w:ascii="宋体" w:hAnsi="宋体" w:cs="宋体"/>
        </w:rPr>
        <w:t>的楼盖应具有良好的水平刚度和整体性。</w:t>
      </w:r>
    </w:p>
    <w:p>
      <w:pPr>
        <w:pStyle w:val="4"/>
        <w:ind w:right="210"/>
        <w:rPr>
          <w:rFonts w:ascii="宋体" w:hAnsi="宋体" w:cs="宋体"/>
          <w:color w:val="C00000"/>
          <w:kern w:val="0"/>
          <w:szCs w:val="21"/>
          <w:lang w:bidi="ar"/>
        </w:rPr>
      </w:pPr>
      <w:r>
        <w:rPr>
          <w:rFonts w:hint="eastAsia"/>
          <w:bCs w:val="0"/>
          <w:szCs w:val="22"/>
        </w:rPr>
        <w:t>RC-SB结构中，钢框架梁上翼缘采用抗剪连接件与楼板可靠连接时，可不验算地震作用下的整体稳定。钢框架梁端部下翼缘的稳定性应满足</w:t>
      </w:r>
      <w:r>
        <w:rPr>
          <w:rFonts w:hint="eastAsia"/>
        </w:rPr>
        <w:t>现行国家标准</w:t>
      </w:r>
      <w:r>
        <w:rPr>
          <w:rFonts w:hint="eastAsia"/>
          <w:bCs w:val="0"/>
          <w:szCs w:val="22"/>
        </w:rPr>
        <w:t>GB 50017的有关规定。抗震设计时，钢梁受压翼缘应根据需要设置侧向支撑（隅撑）;当梁柱节点悬臂梁段采用能将塑性铰自梁端外移的端部扩大形连接构造时，可不设置隅撑,但应在侧向未受约束的受压翼缘区段内沿梁长设置间距不大于2倍梁高且与梁等宽的横向加劲肋</w:t>
      </w:r>
      <w:r>
        <w:rPr>
          <w:rFonts w:hint="eastAsia" w:ascii="宋体" w:hAnsi="宋体" w:cs="宋体"/>
          <w:color w:val="5B9BD5" w:themeColor="accent1"/>
          <w14:textFill>
            <w14:solidFill>
              <w14:schemeClr w14:val="accent1"/>
            </w14:solidFill>
          </w14:textFill>
        </w:rPr>
        <w:t>。</w:t>
      </w:r>
    </w:p>
    <w:p>
      <w:pPr>
        <w:pStyle w:val="4"/>
        <w:ind w:right="210"/>
        <w:rPr>
          <w:rFonts w:ascii="宋体" w:hAnsi="宋体" w:cs="宋体"/>
          <w:color w:val="000000"/>
          <w:kern w:val="0"/>
          <w:szCs w:val="21"/>
          <w:lang w:bidi="ar"/>
        </w:rPr>
      </w:pPr>
      <w:r>
        <w:rPr>
          <w:rFonts w:hint="eastAsia" w:ascii="宋体" w:hAnsi="宋体" w:cs="宋体"/>
          <w:color w:val="000000"/>
          <w:kern w:val="0"/>
          <w:szCs w:val="21"/>
          <w:lang w:bidi="ar"/>
        </w:rPr>
        <w:t>各类结构体系同一建筑中，框架柱可采用钢筋混凝土柱、钢管混凝土柱及钢柱中的一种或几种；框架梁宜采用钢筋混凝土梁或钢梁的一种，可结合工程具体情况进行组合使用</w:t>
      </w:r>
      <w:r>
        <w:rPr>
          <w:rFonts w:hint="eastAsia" w:ascii="宋体" w:hAnsi="宋体" w:cs="宋体"/>
          <w:color w:val="5B9BD5" w:themeColor="accent1"/>
          <w:kern w:val="0"/>
          <w:szCs w:val="21"/>
          <w:lang w:bidi="ar"/>
          <w14:textFill>
            <w14:solidFill>
              <w14:schemeClr w14:val="accent1"/>
            </w14:solidFill>
          </w14:textFill>
        </w:rPr>
        <w:t>。</w:t>
      </w:r>
    </w:p>
    <w:p>
      <w:pPr>
        <w:pStyle w:val="4"/>
        <w:ind w:right="210"/>
      </w:pPr>
      <w:r>
        <w:rPr>
          <w:rFonts w:hint="eastAsia"/>
        </w:rPr>
        <w:t>矩形</w:t>
      </w:r>
      <w:r>
        <w:t>钢管混凝土柱的钢管，可采用焊接钢管，也可以采用冷成型</w:t>
      </w:r>
      <w:r>
        <w:rPr>
          <w:rFonts w:hint="eastAsia"/>
        </w:rPr>
        <w:t>矩形</w:t>
      </w:r>
      <w:r>
        <w:t>钢管。</w:t>
      </w:r>
      <w:r>
        <w:rPr>
          <w:rFonts w:hint="eastAsia"/>
        </w:rPr>
        <w:t>当采用冷成型矩形钢管时，应符合现行国家标准JG/T</w:t>
      </w:r>
      <w:r>
        <w:t xml:space="preserve"> </w:t>
      </w:r>
      <w:r>
        <w:rPr>
          <w:rFonts w:hint="eastAsia"/>
        </w:rPr>
        <w:t>178中I级产品的规定。圆形</w:t>
      </w:r>
      <w:r>
        <w:t>钢管混凝土柱的钢管，可采用</w:t>
      </w:r>
      <w:r>
        <w:rPr>
          <w:rFonts w:hint="eastAsia"/>
        </w:rPr>
        <w:t>焊接</w:t>
      </w:r>
      <w:r>
        <w:t>圆钢管</w:t>
      </w:r>
      <w:r>
        <w:rPr>
          <w:rFonts w:hint="eastAsia"/>
        </w:rPr>
        <w:t>、</w:t>
      </w:r>
      <w:r>
        <w:t>热轧无</w:t>
      </w:r>
      <w:r>
        <w:rPr>
          <w:rFonts w:hint="eastAsia"/>
        </w:rPr>
        <w:t>逢</w:t>
      </w:r>
      <w:r>
        <w:t>钢管，不宜选用输送流体用的螺旋焊管。钢梁可采用轧制型钢、焊接型钢等构件。</w:t>
      </w:r>
    </w:p>
    <w:p>
      <w:pPr>
        <w:pStyle w:val="4"/>
        <w:keepNext w:val="0"/>
        <w:keepLines w:val="0"/>
        <w:ind w:rightChars="0"/>
        <w:rPr>
          <w:rFonts w:ascii="宋体" w:hAnsi="宋体" w:cs="宋体"/>
        </w:rPr>
      </w:pPr>
      <w:r>
        <w:rPr>
          <w:rFonts w:hint="eastAsia" w:ascii="宋体" w:hAnsi="宋体" w:cs="宋体"/>
        </w:rPr>
        <w:t>装配式混合框架结构的填充墙及隔墙等非结构构件宜采用各类轻质装配式材料，构造上应与主体结构可靠连接，并应满足承载力、稳定和变形要求。若钢管混凝土柱边砌体长度≤250mm时，宜设现浇钢筋混凝土隔墙。</w:t>
      </w:r>
    </w:p>
    <w:p>
      <w:pPr>
        <w:pStyle w:val="4"/>
        <w:keepNext w:val="0"/>
        <w:keepLines w:val="0"/>
        <w:ind w:rightChars="0"/>
        <w:rPr>
          <w:rFonts w:ascii="黑体" w:hAnsi="黑体" w:eastAsia="黑体"/>
        </w:rPr>
      </w:pPr>
      <w:r>
        <w:rPr>
          <w:rFonts w:hint="eastAsia" w:ascii="宋体" w:hAnsi="宋体" w:cs="宋体"/>
          <w:color w:val="000000"/>
          <w:kern w:val="0"/>
          <w:szCs w:val="21"/>
          <w:lang w:val="zh-CN" w:bidi="ar"/>
        </w:rPr>
        <w:t>装配式混合</w:t>
      </w:r>
      <w:r>
        <w:rPr>
          <w:rFonts w:hint="eastAsia" w:ascii="宋体" w:hAnsi="宋体" w:cs="宋体"/>
          <w:color w:val="000000"/>
          <w:kern w:val="0"/>
          <w:szCs w:val="21"/>
          <w:lang w:bidi="ar"/>
        </w:rPr>
        <w:t>框架</w:t>
      </w:r>
      <w:r>
        <w:rPr>
          <w:rFonts w:hint="eastAsia" w:ascii="宋体" w:hAnsi="宋体" w:cs="宋体"/>
          <w:color w:val="000000"/>
          <w:kern w:val="0"/>
          <w:szCs w:val="21"/>
          <w:lang w:val="zh-CN" w:bidi="ar"/>
        </w:rPr>
        <w:t>结构中的钢管混凝土框架柱与钢筋混凝土梁中心线宜重合。当梁、柱中心线不能重合时，除在计算中应考虑偏心对梁柱节点核心区受力和构造的不利影响外，还应满足</w:t>
      </w:r>
      <w:r>
        <w:rPr>
          <w:rFonts w:hint="eastAsia" w:ascii="宋体" w:hAnsi="宋体" w:cs="宋体"/>
          <w:color w:val="000000"/>
          <w:kern w:val="0"/>
          <w:szCs w:val="21"/>
          <w:lang w:bidi="ar"/>
        </w:rPr>
        <w:t>孔</w:t>
      </w:r>
      <w:r>
        <w:rPr>
          <w:rFonts w:hint="eastAsia" w:ascii="宋体" w:hAnsi="宋体" w:cs="宋体"/>
          <w:color w:val="000000"/>
          <w:kern w:val="0"/>
          <w:szCs w:val="21"/>
          <w:lang w:val="zh-CN" w:bidi="ar"/>
        </w:rPr>
        <w:t>边</w:t>
      </w:r>
      <w:r>
        <w:rPr>
          <w:rFonts w:hint="eastAsia" w:ascii="宋体" w:hAnsi="宋体" w:cs="宋体"/>
          <w:color w:val="000000"/>
          <w:kern w:val="0"/>
          <w:szCs w:val="21"/>
          <w:lang w:bidi="ar"/>
        </w:rPr>
        <w:t>距柱边最小宽度的尺寸</w:t>
      </w:r>
      <w:r>
        <w:rPr>
          <w:rFonts w:hint="eastAsia" w:ascii="宋体" w:hAnsi="宋体" w:cs="宋体"/>
          <w:color w:val="000000"/>
          <w:kern w:val="0"/>
          <w:szCs w:val="21"/>
          <w:lang w:val="zh-CN" w:bidi="ar"/>
        </w:rPr>
        <w:t>要求。</w:t>
      </w:r>
    </w:p>
    <w:p>
      <w:pPr>
        <w:pStyle w:val="4"/>
        <w:keepNext w:val="0"/>
        <w:keepLines w:val="0"/>
        <w:ind w:rightChars="0"/>
        <w:rPr>
          <w:rFonts w:ascii="宋体" w:hAnsi="宋体" w:cs="宋体"/>
          <w:color w:val="000000"/>
          <w:kern w:val="0"/>
          <w:szCs w:val="21"/>
          <w:lang w:val="zh-CN" w:bidi="ar"/>
        </w:rPr>
      </w:pPr>
      <w:r>
        <w:rPr>
          <w:rFonts w:hint="eastAsia" w:ascii="宋体" w:hAnsi="宋体" w:cs="宋体"/>
          <w:color w:val="000000"/>
          <w:kern w:val="0"/>
          <w:szCs w:val="21"/>
          <w:lang w:val="zh-CN" w:bidi="ar"/>
        </w:rPr>
        <w:t>RC-SB结构中</w:t>
      </w:r>
      <w:r>
        <w:rPr>
          <w:rFonts w:hint="eastAsia" w:ascii="宋体" w:hAnsi="宋体" w:cs="宋体"/>
          <w:color w:val="000000"/>
          <w:kern w:val="0"/>
          <w:szCs w:val="21"/>
          <w:lang w:bidi="ar"/>
        </w:rPr>
        <w:t>的钢筋混凝土柱与钢梁的连接宜采用刚接;抗震设计时应对框架节点核芯区进行抗震验算。钢梁宜居柱中线布置，当钢梁中线与柱中线之间偏心距大于柱宽的 1/4 时，应计入偏心的影响。</w:t>
      </w:r>
    </w:p>
    <w:p>
      <w:pPr>
        <w:pStyle w:val="4"/>
        <w:keepNext w:val="0"/>
        <w:keepLines w:val="0"/>
        <w:ind w:right="210"/>
      </w:pPr>
      <w:r>
        <w:rPr>
          <w:rFonts w:hint="eastAsia"/>
        </w:rPr>
        <w:t>CFRST-RB</w:t>
      </w:r>
      <w:r>
        <w:rPr>
          <w:rFonts w:hint="eastAsia" w:ascii="宋体" w:hAnsi="宋体" w:cs="宋体"/>
          <w:color w:val="000000"/>
          <w:kern w:val="0"/>
          <w:szCs w:val="21"/>
          <w:lang w:bidi="ar"/>
        </w:rPr>
        <w:t>结构中矩形钢管混凝土框架柱的截面最小边长不宜小于</w:t>
      </w:r>
      <w:r>
        <w:rPr>
          <w:rFonts w:hint="eastAsia" w:ascii="宋体" w:hAnsi="宋体" w:cs="宋体"/>
          <w:kern w:val="0"/>
          <w:szCs w:val="21"/>
          <w:lang w:bidi="ar"/>
        </w:rPr>
        <w:t>500</w:t>
      </w:r>
      <w:r>
        <w:rPr>
          <w:rFonts w:hint="eastAsia" w:ascii="宋体" w:hAnsi="宋体" w:cs="宋体"/>
          <w:color w:val="000000"/>
          <w:kern w:val="0"/>
          <w:szCs w:val="21"/>
          <w:lang w:bidi="ar"/>
        </w:rPr>
        <w:t>mm，钢管壁壁厚不宜小于8mm，截面高宽比不宜大于2。当矩形钢管混凝土柱截面边长大于等于</w:t>
      </w:r>
      <w:r>
        <w:rPr>
          <w:rFonts w:ascii="宋体" w:hAnsi="宋体" w:cs="宋体"/>
          <w:color w:val="000000"/>
          <w:kern w:val="0"/>
          <w:szCs w:val="21"/>
          <w:lang w:bidi="ar"/>
        </w:rPr>
        <w:t>8</w:t>
      </w:r>
      <w:r>
        <w:rPr>
          <w:rFonts w:hint="eastAsia" w:ascii="宋体" w:hAnsi="宋体" w:cs="宋体"/>
          <w:color w:val="000000"/>
          <w:kern w:val="0"/>
          <w:szCs w:val="21"/>
          <w:lang w:bidi="ar"/>
        </w:rPr>
        <w:t>00mm时，宜采取在柱子内壁上焊接栓钉、纵向加劲肋等构造措施。</w:t>
      </w:r>
    </w:p>
    <w:p>
      <w:pPr>
        <w:pStyle w:val="4"/>
        <w:keepNext w:val="0"/>
        <w:keepLines w:val="0"/>
        <w:ind w:right="210"/>
        <w:rPr>
          <w:color w:val="5B9BD5" w:themeColor="accent1"/>
          <w14:textFill>
            <w14:solidFill>
              <w14:schemeClr w14:val="accent1"/>
            </w14:solidFill>
          </w14:textFill>
        </w:rPr>
      </w:pPr>
      <w:r>
        <w:rPr>
          <w:rFonts w:hint="eastAsia"/>
        </w:rPr>
        <w:t>CFRST-RB结构中矩形钢管混凝土框架柱，</w:t>
      </w:r>
      <w:r>
        <w:t>钢管</w:t>
      </w:r>
      <w:r>
        <w:rPr>
          <w:rFonts w:hint="eastAsia"/>
        </w:rPr>
        <w:t>截面边长和壁厚之比不应大于</w:t>
      </w:r>
      <m:oMath>
        <m:r>
          <m:rPr>
            <m:sty m:val="p"/>
          </m:rPr>
          <w:rPr>
            <w:rFonts w:ascii="Cambria Math" w:hAnsi="Cambria Math"/>
          </w:rPr>
          <m:t>60</m:t>
        </m:r>
        <m:rad>
          <m:radPr>
            <m:degHide m:val="true"/>
            <m:ctrlPr>
              <w:rPr>
                <w:rFonts w:ascii="Cambria Math" w:hAnsi="Cambria Math" w:eastAsia="Cambria Math" w:cs="Cambria Math"/>
                <w:i/>
              </w:rPr>
            </m:ctrlPr>
          </m:radPr>
          <m:deg>
            <m:ctrlPr>
              <w:rPr>
                <w:rFonts w:ascii="Cambria Math" w:hAnsi="Cambria Math" w:eastAsia="Cambria Math" w:cs="Cambria Math"/>
                <w:i/>
              </w:rPr>
            </m:ctrlPr>
          </m:deg>
          <m:e>
            <m:f>
              <m:fPr>
                <m:type m:val="lin"/>
                <m:ctrlPr>
                  <w:rPr>
                    <w:rFonts w:ascii="Cambria Math" w:hAnsi="Cambria Math" w:eastAsia="Cambria Math" w:cs="Cambria Math"/>
                    <w:i/>
                  </w:rPr>
                </m:ctrlPr>
              </m:fPr>
              <m:num>
                <m:r>
                  <m:rPr/>
                  <w:rPr>
                    <w:rFonts w:ascii="Cambria Math" w:hAnsi="Cambria Math" w:eastAsia="Cambria Math" w:cs="Cambria Math"/>
                  </w:rPr>
                  <m:t>235</m:t>
                </m:r>
                <m:ctrlPr>
                  <w:rPr>
                    <w:rFonts w:ascii="Cambria Math" w:hAnsi="Cambria Math" w:eastAsia="Cambria Math" w:cs="Cambria Math"/>
                    <w:i/>
                  </w:rPr>
                </m:ctrlPr>
              </m:num>
              <m:den>
                <m:r>
                  <m:rPr/>
                  <w:rPr>
                    <w:rFonts w:ascii="Cambria Math" w:hAnsi="Cambria Math" w:eastAsia="Cambria Math" w:cs="Cambria Math"/>
                  </w:rPr>
                  <m:t>f</m:t>
                </m:r>
                <m:r>
                  <m:rPr/>
                  <w:rPr>
                    <w:rFonts w:ascii="Cambria Math" w:hAnsi="Cambria Math" w:cs="Cambria Math"/>
                  </w:rPr>
                  <m:t>ak</m:t>
                </m:r>
                <m:ctrlPr>
                  <w:rPr>
                    <w:rFonts w:ascii="Cambria Math" w:hAnsi="Cambria Math" w:eastAsia="Cambria Math" w:cs="Cambria Math"/>
                    <w:i/>
                  </w:rPr>
                </m:ctrlPr>
              </m:den>
            </m:f>
            <m:ctrlPr>
              <w:rPr>
                <w:rFonts w:ascii="Cambria Math" w:hAnsi="Cambria Math" w:eastAsia="Cambria Math" w:cs="Cambria Math"/>
                <w:i/>
              </w:rPr>
            </m:ctrlPr>
          </m:e>
        </m:rad>
      </m:oMath>
      <w:r>
        <w:rPr>
          <w:rFonts w:hint="eastAsia"/>
        </w:rPr>
        <w:t xml:space="preserve">。            </w:t>
      </w:r>
    </w:p>
    <w:p>
      <w:pPr>
        <w:pStyle w:val="4"/>
        <w:keepNext w:val="0"/>
        <w:keepLines w:val="0"/>
        <w:ind w:right="210"/>
        <w:rPr>
          <w:rFonts w:ascii="宋体" w:hAnsi="宋体" w:cs="宋体"/>
          <w:color w:val="000000"/>
          <w:kern w:val="0"/>
          <w:szCs w:val="21"/>
          <w:lang w:bidi="ar"/>
        </w:rPr>
      </w:pPr>
      <w:r>
        <w:rPr>
          <w:rFonts w:hint="eastAsia"/>
        </w:rPr>
        <w:t>CF</w:t>
      </w:r>
      <w:r>
        <w:t>C</w:t>
      </w:r>
      <w:r>
        <w:rPr>
          <w:rFonts w:hint="eastAsia"/>
        </w:rPr>
        <w:t>ST-RB</w:t>
      </w:r>
      <w:r>
        <w:rPr>
          <w:rFonts w:hint="eastAsia" w:ascii="宋体" w:hAnsi="宋体" w:cs="宋体"/>
          <w:color w:val="000000"/>
          <w:kern w:val="0"/>
          <w:szCs w:val="21"/>
          <w:lang w:bidi="ar"/>
        </w:rPr>
        <w:t>结构中圆形钢管混凝土框架柱的钢管外直径不宜小于</w:t>
      </w:r>
      <w:r>
        <w:rPr>
          <w:rFonts w:hint="eastAsia" w:ascii="宋体" w:hAnsi="宋体" w:cs="宋体"/>
          <w:kern w:val="0"/>
          <w:szCs w:val="21"/>
          <w:lang w:bidi="ar"/>
        </w:rPr>
        <w:t>500</w:t>
      </w:r>
      <w:r>
        <w:rPr>
          <w:rFonts w:hint="eastAsia" w:ascii="宋体" w:hAnsi="宋体" w:cs="宋体"/>
          <w:color w:val="000000"/>
          <w:kern w:val="0"/>
          <w:szCs w:val="21"/>
          <w:lang w:bidi="ar"/>
        </w:rPr>
        <w:t>mm，钢管壁壁厚不宜小于8mm。</w:t>
      </w:r>
    </w:p>
    <w:p>
      <w:pPr>
        <w:pStyle w:val="4"/>
        <w:keepNext w:val="0"/>
        <w:keepLines w:val="0"/>
        <w:ind w:right="210"/>
        <w:rPr>
          <w:rFonts w:ascii="宋体" w:hAnsi="宋体" w:cs="宋体"/>
          <w:color w:val="000000"/>
          <w:kern w:val="0"/>
          <w:szCs w:val="21"/>
          <w:lang w:bidi="ar"/>
        </w:rPr>
      </w:pPr>
      <w:r>
        <w:rPr>
          <w:rFonts w:hint="eastAsia"/>
        </w:rPr>
        <w:t>CF</w:t>
      </w:r>
      <w:r>
        <w:t>C</w:t>
      </w:r>
      <w:r>
        <w:rPr>
          <w:rFonts w:hint="eastAsia"/>
        </w:rPr>
        <w:t>ST-RB</w:t>
      </w:r>
      <w:r>
        <w:rPr>
          <w:rFonts w:hint="eastAsia" w:ascii="宋体" w:hAnsi="宋体" w:cs="宋体"/>
          <w:color w:val="000000"/>
          <w:kern w:val="0"/>
          <w:szCs w:val="21"/>
          <w:lang w:bidi="ar"/>
        </w:rPr>
        <w:t>结构中圆形钢管混凝土框架柱的套箍指标应满足《组合结构设计规范》</w:t>
      </w:r>
      <w:r>
        <w:rPr>
          <w:rFonts w:ascii="宋体" w:hAnsi="宋体" w:cs="宋体"/>
          <w:color w:val="000000"/>
          <w:kern w:val="0"/>
          <w:szCs w:val="21"/>
          <w:lang w:bidi="ar"/>
        </w:rPr>
        <w:t>JGJ138的相关规定。</w:t>
      </w:r>
    </w:p>
    <w:p>
      <w:pPr>
        <w:pStyle w:val="4"/>
        <w:keepNext w:val="0"/>
        <w:keepLines w:val="0"/>
        <w:ind w:right="210"/>
        <w:rPr>
          <w:rFonts w:ascii="宋体" w:hAnsi="宋体" w:cs="宋体"/>
          <w:color w:val="000000"/>
          <w:kern w:val="0"/>
          <w:szCs w:val="21"/>
          <w:lang w:bidi="ar"/>
        </w:rPr>
      </w:pPr>
      <w:r>
        <w:rPr>
          <w:rFonts w:hint="eastAsia"/>
        </w:rPr>
        <w:t>CF</w:t>
      </w:r>
      <w:r>
        <w:t>C</w:t>
      </w:r>
      <w:r>
        <w:rPr>
          <w:rFonts w:hint="eastAsia"/>
        </w:rPr>
        <w:t>ST-RB结构中圆形钢管混凝土框架柱</w:t>
      </w:r>
      <w:r>
        <w:t>，</w:t>
      </w:r>
      <w:r>
        <w:rPr>
          <w:rFonts w:hint="eastAsia"/>
        </w:rPr>
        <w:t>钢管外径和</w:t>
      </w:r>
      <w:r>
        <w:t>钢管</w:t>
      </w:r>
      <w:r>
        <w:rPr>
          <w:rFonts w:hint="eastAsia"/>
        </w:rPr>
        <w:t>壁厚之比不应大于</w:t>
      </w:r>
      <w:r>
        <w:rPr>
          <w:position w:val="-12"/>
        </w:rPr>
        <w:object>
          <v:shape id="_x0000_i1032" o:spt="75" type="#_x0000_t75" style="height:18.15pt;width:68.25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r>
        <w:t>。</w:t>
      </w:r>
    </w:p>
    <w:p>
      <w:pPr>
        <w:pStyle w:val="4"/>
        <w:keepNext w:val="0"/>
        <w:keepLines w:val="0"/>
        <w:ind w:right="210"/>
        <w:rPr>
          <w:lang w:bidi="ar"/>
        </w:rPr>
      </w:pPr>
      <w:r>
        <w:rPr>
          <w:rFonts w:hint="eastAsia"/>
          <w:lang w:bidi="ar"/>
        </w:rPr>
        <w:t>抗震设计时，框架柱的拼接应采用坡口全熔透焊缝。非抗震设计时，柱拼接也可采用部分熔透焊缝。钢管柱组装焊缝在框架梁的上、下</w:t>
      </w:r>
      <w:r>
        <w:rPr>
          <w:lang w:bidi="ar"/>
        </w:rPr>
        <w:t>600mm范围内，应采用全熔透焊缝。</w:t>
      </w:r>
    </w:p>
    <w:p>
      <w:pPr>
        <w:pStyle w:val="3"/>
        <w:keepNext w:val="0"/>
        <w:keepLines w:val="0"/>
        <w:spacing w:before="120" w:after="120"/>
        <w:rPr>
          <w:rFonts w:ascii="宋体" w:hAnsi="宋体" w:cs="宋体"/>
        </w:rPr>
      </w:pPr>
      <w:bookmarkStart w:id="112" w:name="_Toc186641486"/>
      <w:bookmarkStart w:id="113" w:name="_Toc12058"/>
      <w:bookmarkStart w:id="114" w:name="_Toc32608"/>
      <w:r>
        <w:rPr>
          <w:rFonts w:hint="eastAsia" w:ascii="宋体" w:hAnsi="宋体" w:cs="宋体"/>
        </w:rPr>
        <w:t>节点构造</w:t>
      </w:r>
      <w:bookmarkEnd w:id="112"/>
      <w:bookmarkEnd w:id="113"/>
      <w:bookmarkEnd w:id="114"/>
    </w:p>
    <w:p>
      <w:pPr>
        <w:pStyle w:val="4"/>
        <w:ind w:right="210"/>
      </w:pPr>
      <w:r>
        <w:rPr>
          <w:rFonts w:hint="eastAsia"/>
        </w:rPr>
        <w:t>CFRST-RB节点</w:t>
      </w:r>
    </w:p>
    <w:p>
      <w:pPr>
        <w:pStyle w:val="5"/>
      </w:pPr>
      <w:r>
        <w:rPr>
          <w:rFonts w:hint="eastAsia"/>
        </w:rPr>
        <w:t>钢筋混凝土梁通过钢筋穿过或锚入开孔钢管混凝土柱的方式形成刚性连接（图3）。</w:t>
      </w:r>
    </w:p>
    <w:p>
      <w:pPr>
        <w:ind w:left="420" w:leftChars="200" w:firstLine="0" w:firstLineChars="0"/>
      </w:pPr>
      <w:r>
        <w:rPr>
          <w:rFonts w:hint="eastAsia"/>
        </w:rPr>
        <w:t xml:space="preserve">  </w:t>
      </w:r>
      <w:r>
        <w:rPr>
          <w:rFonts w:hint="eastAsia"/>
        </w:rPr>
        <w:drawing>
          <wp:inline distT="0" distB="0" distL="0" distR="0">
            <wp:extent cx="4803140" cy="200088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34" cstate="print">
                      <a:extLst>
                        <a:ext uri="{28A0092B-C50C-407E-A947-70E740481C1C}">
                          <a14:useLocalDpi xmlns:a14="http://schemas.microsoft.com/office/drawing/2010/main" val="false"/>
                        </a:ext>
                      </a:extLst>
                    </a:blip>
                    <a:srcRect l="4252" t="13351" r="4647" b="11117"/>
                    <a:stretch>
                      <a:fillRect/>
                    </a:stretch>
                  </pic:blipFill>
                  <pic:spPr>
                    <a:xfrm>
                      <a:off x="0" y="0"/>
                      <a:ext cx="4804913" cy="2001473"/>
                    </a:xfrm>
                    <a:prstGeom prst="rect">
                      <a:avLst/>
                    </a:prstGeom>
                    <a:ln>
                      <a:noFill/>
                    </a:ln>
                  </pic:spPr>
                </pic:pic>
              </a:graphicData>
            </a:graphic>
          </wp:inline>
        </w:drawing>
      </w:r>
    </w:p>
    <w:p>
      <w:pPr>
        <w:ind w:firstLine="1632" w:firstLineChars="800"/>
        <w:rPr>
          <w:rFonts w:cs="Times New Roman"/>
          <w:kern w:val="0"/>
          <w:szCs w:val="21"/>
          <w:lang w:bidi="ar"/>
        </w:rPr>
      </w:pPr>
      <w:r>
        <w:rPr>
          <w:rFonts w:hint="eastAsia" w:ascii="宋体" w:hAnsi="宋体"/>
          <w:bCs/>
          <w:color w:val="000000"/>
          <w:spacing w:val="-3"/>
          <w:kern w:val="32"/>
          <w:szCs w:val="28"/>
        </w:rPr>
        <w:t xml:space="preserve">a) </w:t>
      </w:r>
      <w:r>
        <w:rPr>
          <w:rFonts w:cs="Times New Roman"/>
          <w:kern w:val="0"/>
          <w:szCs w:val="21"/>
          <w:lang w:bidi="ar"/>
        </w:rPr>
        <w:t>节点钢筋摆放立面图</w:t>
      </w:r>
      <w:r>
        <w:rPr>
          <w:rFonts w:cs="Times New Roman"/>
          <w:kern w:val="0"/>
          <w:szCs w:val="21"/>
          <w:lang w:bidi="ar"/>
        </w:rPr>
        <w:tab/>
      </w:r>
      <w:r>
        <w:rPr>
          <w:rFonts w:cs="Times New Roman"/>
          <w:kern w:val="0"/>
          <w:szCs w:val="21"/>
          <w:lang w:bidi="ar"/>
        </w:rPr>
        <w:tab/>
      </w:r>
      <w:r>
        <w:rPr>
          <w:rFonts w:cs="Times New Roman"/>
          <w:kern w:val="0"/>
          <w:szCs w:val="21"/>
          <w:lang w:bidi="ar"/>
        </w:rPr>
        <w:tab/>
      </w:r>
      <w:r>
        <w:rPr>
          <w:rFonts w:ascii="宋体" w:hAnsi="宋体"/>
          <w:bCs/>
          <w:color w:val="000000"/>
          <w:spacing w:val="-3"/>
          <w:kern w:val="32"/>
          <w:szCs w:val="28"/>
        </w:rPr>
        <w:t>b</w:t>
      </w:r>
      <w:r>
        <w:rPr>
          <w:rFonts w:hint="eastAsia" w:ascii="宋体" w:hAnsi="宋体"/>
          <w:bCs/>
          <w:color w:val="000000"/>
          <w:spacing w:val="-3"/>
          <w:kern w:val="32"/>
          <w:szCs w:val="28"/>
        </w:rPr>
        <w:t xml:space="preserve">) </w:t>
      </w:r>
      <w:r>
        <w:rPr>
          <w:rFonts w:cs="Times New Roman"/>
          <w:kern w:val="0"/>
          <w:szCs w:val="21"/>
          <w:lang w:bidi="ar"/>
        </w:rPr>
        <w:t>节点钢筋摆放平面图</w:t>
      </w:r>
    </w:p>
    <w:p>
      <w:pPr>
        <w:spacing w:line="400" w:lineRule="exact"/>
        <w:ind w:firstLine="199" w:firstLineChars="95"/>
        <w:jc w:val="center"/>
        <w:rPr>
          <w:rFonts w:cs="Times New Roman"/>
          <w:kern w:val="0"/>
          <w:szCs w:val="21"/>
          <w:lang w:bidi="ar"/>
        </w:rPr>
      </w:pPr>
      <w:r>
        <w:rPr>
          <w:rFonts w:hint="eastAsia" w:ascii="黑体" w:hAnsi="黑体" w:eastAsia="黑体"/>
        </w:rPr>
        <w:t>图3</w:t>
      </w:r>
      <w:r>
        <w:rPr>
          <w:rFonts w:hint="eastAsia" w:ascii="黑体" w:hAnsi="黑体" w:eastAsia="黑体" w:cs="黑体"/>
        </w:rPr>
        <w:t>　</w:t>
      </w:r>
      <w:r>
        <w:rPr>
          <w:rFonts w:hint="eastAsia" w:ascii="黑体" w:hAnsi="黑体" w:eastAsia="黑体"/>
        </w:rPr>
        <w:t>节点钢筋摆放示意图</w:t>
      </w:r>
    </w:p>
    <w:p>
      <w:pPr>
        <w:ind w:firstLine="0" w:firstLineChars="0"/>
        <w:jc w:val="center"/>
      </w:pPr>
      <w:r>
        <w:rPr>
          <w:rFonts w:hint="eastAsia"/>
        </w:rPr>
        <w:t xml:space="preserve">1 </w:t>
      </w:r>
      <w:r>
        <w:rPr>
          <w:rFonts w:cs="Times New Roman"/>
          <w:kern w:val="0"/>
          <w:szCs w:val="21"/>
          <w:lang w:bidi="ar"/>
        </w:rPr>
        <w:t>—</w:t>
      </w:r>
      <w:r>
        <w:rPr>
          <w:rFonts w:hint="eastAsia"/>
        </w:rPr>
        <w:t>钢筋混凝土梁；2</w:t>
      </w:r>
      <w:r>
        <w:rPr>
          <w:rFonts w:cs="Times New Roman"/>
          <w:kern w:val="0"/>
          <w:szCs w:val="21"/>
          <w:lang w:bidi="ar"/>
        </w:rPr>
        <w:t>—</w:t>
      </w:r>
      <w:r>
        <w:t>矩形钢管混凝土柱</w:t>
      </w:r>
      <w:r>
        <w:rPr>
          <w:rFonts w:hint="eastAsia"/>
        </w:rPr>
        <w:t>；</w:t>
      </w:r>
      <w:r>
        <w:t>3</w:t>
      </w:r>
      <w:r>
        <w:rPr>
          <w:rFonts w:cs="Times New Roman"/>
          <w:kern w:val="0"/>
          <w:szCs w:val="21"/>
          <w:lang w:bidi="ar"/>
        </w:rPr>
        <w:t>—</w:t>
      </w:r>
      <w:r>
        <w:rPr>
          <w:rFonts w:hint="eastAsia"/>
        </w:rPr>
        <w:t>X</w:t>
      </w:r>
      <w:r>
        <w:t>向梁面钢筋</w:t>
      </w:r>
      <w:r>
        <w:rPr>
          <w:rFonts w:hint="eastAsia"/>
        </w:rPr>
        <w:t>；4</w:t>
      </w:r>
      <w:r>
        <w:rPr>
          <w:rFonts w:cs="Times New Roman"/>
          <w:kern w:val="0"/>
          <w:szCs w:val="21"/>
          <w:lang w:bidi="ar"/>
        </w:rPr>
        <w:t>—</w:t>
      </w:r>
      <w:r>
        <w:t>Y向梁面钢筋</w:t>
      </w:r>
      <w:r>
        <w:rPr>
          <w:rFonts w:hint="eastAsia"/>
        </w:rPr>
        <w:t>；</w:t>
      </w:r>
    </w:p>
    <w:p>
      <w:pPr>
        <w:ind w:firstLine="0" w:firstLineChars="0"/>
        <w:jc w:val="center"/>
      </w:pPr>
      <w:r>
        <w:t>5</w:t>
      </w:r>
      <w:r>
        <w:rPr>
          <w:rFonts w:cs="Times New Roman"/>
          <w:kern w:val="0"/>
          <w:szCs w:val="21"/>
          <w:lang w:bidi="ar"/>
        </w:rPr>
        <w:t>—</w:t>
      </w:r>
      <w:r>
        <w:rPr>
          <w:rFonts w:hint="eastAsia"/>
        </w:rPr>
        <w:t>X</w:t>
      </w:r>
      <w:r>
        <w:t>向梁底钢筋</w:t>
      </w:r>
      <w:r>
        <w:rPr>
          <w:rFonts w:hint="eastAsia"/>
        </w:rPr>
        <w:t>；</w:t>
      </w:r>
      <w:r>
        <w:t>6</w:t>
      </w:r>
      <w:r>
        <w:rPr>
          <w:rFonts w:cs="Times New Roman"/>
          <w:kern w:val="0"/>
          <w:szCs w:val="21"/>
          <w:lang w:bidi="ar"/>
        </w:rPr>
        <w:t>—</w:t>
      </w:r>
      <w:r>
        <w:t>X向梁</w:t>
      </w:r>
      <w:r>
        <w:rPr>
          <w:rFonts w:hint="eastAsia"/>
        </w:rPr>
        <w:t>底</w:t>
      </w:r>
      <w:r>
        <w:t>钢筋</w:t>
      </w:r>
      <w:r>
        <w:rPr>
          <w:rFonts w:hint="eastAsia"/>
        </w:rPr>
        <w:t>；</w:t>
      </w:r>
    </w:p>
    <w:p>
      <w:pPr>
        <w:pStyle w:val="5"/>
      </w:pPr>
      <w:r>
        <w:rPr>
          <w:rFonts w:hint="eastAsia"/>
        </w:rPr>
        <w:t>梁柱节点处，钢管柱开孔应满足以下要求（图4）：</w:t>
      </w:r>
    </w:p>
    <w:p>
      <w:pPr>
        <w:numPr>
          <w:ilvl w:val="0"/>
          <w:numId w:val="22"/>
        </w:numPr>
        <w:ind w:left="0" w:firstLine="420" w:firstLineChars="0"/>
      </w:pPr>
      <w:r>
        <w:rPr>
          <w:rFonts w:hint="eastAsia"/>
        </w:rPr>
        <w:t>梁高hb不大于400mm时，根据计算分析结果，可在梁高范围内开一个孔；</w:t>
      </w:r>
    </w:p>
    <w:p>
      <w:pPr>
        <w:numPr>
          <w:ilvl w:val="0"/>
          <w:numId w:val="22"/>
        </w:numPr>
        <w:ind w:left="0" w:firstLine="420"/>
      </w:pPr>
      <w:r>
        <w:rPr>
          <w:rFonts w:hint="eastAsia"/>
        </w:rPr>
        <w:t>梁高hb大于4</w:t>
      </w:r>
      <w:r>
        <w:t>00mm时，可</w:t>
      </w:r>
      <w:r>
        <w:rPr>
          <w:rFonts w:hint="eastAsia"/>
        </w:rPr>
        <w:t>在钢管柱沿梁的高度方向逢中开设多个孔口，孔口高度可按250 mm和 1/3梁高取小值，孔口净距h1不应小于1</w:t>
      </w:r>
      <w:r>
        <w:t>50mm</w:t>
      </w:r>
      <w:r>
        <w:rPr>
          <w:rFonts w:hint="eastAsia"/>
        </w:rPr>
        <w:t>。</w:t>
      </w:r>
    </w:p>
    <w:p>
      <w:pPr>
        <w:ind w:firstLine="210" w:firstLineChars="100"/>
        <w:jc w:val="center"/>
      </w:pPr>
      <w:r>
        <w:drawing>
          <wp:inline distT="0" distB="0" distL="114300" distR="114300">
            <wp:extent cx="4084955" cy="2402205"/>
            <wp:effectExtent l="0" t="0" r="10795" b="17145"/>
            <wp:docPr id="116"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true"/>
                    </pic:cNvPicPr>
                  </pic:nvPicPr>
                  <pic:blipFill>
                    <a:blip r:embed="rId35"/>
                    <a:stretch>
                      <a:fillRect/>
                    </a:stretch>
                  </pic:blipFill>
                  <pic:spPr>
                    <a:xfrm>
                      <a:off x="0" y="0"/>
                      <a:ext cx="4084955" cy="2402205"/>
                    </a:xfrm>
                    <a:prstGeom prst="rect">
                      <a:avLst/>
                    </a:prstGeom>
                  </pic:spPr>
                </pic:pic>
              </a:graphicData>
            </a:graphic>
          </wp:inline>
        </w:drawing>
      </w:r>
    </w:p>
    <w:p>
      <w:pPr>
        <w:spacing w:line="400" w:lineRule="exact"/>
        <w:ind w:firstLine="420"/>
        <w:jc w:val="center"/>
        <w:rPr>
          <w:rFonts w:ascii="黑体" w:hAnsi="黑体" w:eastAsia="黑体" w:cs="宋体"/>
        </w:rPr>
      </w:pPr>
      <w:r>
        <w:rPr>
          <w:rFonts w:hint="eastAsia" w:ascii="黑体" w:hAnsi="黑体" w:eastAsia="黑体" w:cs="宋体"/>
        </w:rPr>
        <w:t>图4</w:t>
      </w:r>
      <w:r>
        <w:rPr>
          <w:rFonts w:hint="eastAsia" w:ascii="黑体" w:hAnsi="黑体" w:eastAsia="黑体" w:cs="黑体"/>
        </w:rPr>
        <w:t>　</w:t>
      </w:r>
      <w:r>
        <w:rPr>
          <w:rFonts w:hint="eastAsia" w:ascii="黑体" w:hAnsi="黑体" w:eastAsia="黑体" w:cs="宋体"/>
        </w:rPr>
        <w:t>梁、柱节点区钢管混凝土柱开洞示意图</w:t>
      </w:r>
    </w:p>
    <w:p>
      <w:pPr>
        <w:ind w:firstLine="210" w:firstLineChars="100"/>
        <w:jc w:val="center"/>
        <w:rPr>
          <w:rFonts w:ascii="宋体" w:hAnsi="宋体" w:cs="宋体"/>
        </w:rPr>
      </w:pPr>
      <w:r>
        <w:rPr>
          <w:rFonts w:hint="eastAsia" w:cs="Times New Roman"/>
          <w:i/>
          <w:kern w:val="0"/>
          <w:szCs w:val="21"/>
          <w:lang w:bidi="ar"/>
        </w:rPr>
        <w:t>b</w:t>
      </w:r>
      <w:r>
        <w:rPr>
          <w:rFonts w:cs="Times New Roman"/>
          <w:kern w:val="0"/>
          <w:szCs w:val="21"/>
          <w:vertAlign w:val="subscript"/>
          <w:lang w:bidi="ar"/>
        </w:rPr>
        <w:t>0</w:t>
      </w:r>
      <w:r>
        <w:rPr>
          <w:rFonts w:cs="Times New Roman"/>
          <w:kern w:val="0"/>
          <w:szCs w:val="21"/>
          <w:lang w:bidi="ar"/>
        </w:rPr>
        <w:t>—</w:t>
      </w:r>
      <w:r>
        <w:rPr>
          <w:rFonts w:hint="eastAsia" w:cs="Times New Roman"/>
          <w:kern w:val="0"/>
          <w:szCs w:val="21"/>
          <w:lang w:bidi="ar"/>
        </w:rPr>
        <w:t>开孔宽度；</w:t>
      </w:r>
      <w:r>
        <w:rPr>
          <w:rFonts w:hint="eastAsia" w:cs="Times New Roman"/>
          <w:i/>
          <w:kern w:val="0"/>
          <w:szCs w:val="21"/>
          <w:lang w:bidi="ar"/>
        </w:rPr>
        <w:t>t</w:t>
      </w:r>
      <w:r>
        <w:rPr>
          <w:rFonts w:cs="Times New Roman"/>
          <w:kern w:val="0"/>
          <w:szCs w:val="21"/>
          <w:vertAlign w:val="subscript"/>
          <w:lang w:bidi="ar"/>
        </w:rPr>
        <w:t>j</w:t>
      </w:r>
      <w:r>
        <w:rPr>
          <w:rFonts w:cs="Times New Roman"/>
          <w:kern w:val="0"/>
          <w:szCs w:val="21"/>
          <w:lang w:bidi="ar"/>
        </w:rPr>
        <w:t>—开孔区域钢管管壁</w:t>
      </w:r>
      <w:r>
        <w:rPr>
          <w:rFonts w:hint="eastAsia" w:cs="Times New Roman"/>
          <w:kern w:val="0"/>
          <w:szCs w:val="21"/>
          <w:lang w:bidi="ar"/>
        </w:rPr>
        <w:t>厚度；c</w:t>
      </w:r>
      <w:r>
        <w:rPr>
          <w:rFonts w:cs="Times New Roman"/>
          <w:kern w:val="0"/>
          <w:szCs w:val="21"/>
          <w:lang w:bidi="ar"/>
        </w:rPr>
        <w:t>—</w:t>
      </w:r>
      <w:r>
        <w:rPr>
          <w:rFonts w:hint="eastAsia" w:cs="Times New Roman"/>
          <w:kern w:val="0"/>
          <w:szCs w:val="21"/>
          <w:lang w:bidi="ar"/>
        </w:rPr>
        <w:t>取2</w:t>
      </w:r>
      <w:r>
        <w:rPr>
          <w:rFonts w:cs="Times New Roman"/>
          <w:kern w:val="0"/>
          <w:szCs w:val="21"/>
          <w:lang w:bidi="ar"/>
        </w:rPr>
        <w:t>5mm</w:t>
      </w:r>
      <w:r>
        <w:rPr>
          <w:rFonts w:hint="eastAsia" w:cs="Times New Roman"/>
          <w:kern w:val="0"/>
          <w:szCs w:val="21"/>
          <w:lang w:bidi="ar"/>
        </w:rPr>
        <w:t>；</w:t>
      </w:r>
    </w:p>
    <w:p>
      <w:pPr>
        <w:pStyle w:val="5"/>
      </w:pPr>
      <w:r>
        <w:rPr>
          <w:rFonts w:hint="eastAsia"/>
        </w:rPr>
        <w:t>梁柱节点处，矩形钢管混凝土柱钢板的厚度需根据梁截面开孔大小及计算确定，当四边开孔尺寸不一致时，对于正方形截面节点区四边的钢板厚度取各边计算的最大值；对于矩形截面节点区四边的钢板厚度可取对边计算的最大值。梁、柱节点区矩形钢管混凝土柱钢板的厚度不宜大于60mm。</w:t>
      </w:r>
    </w:p>
    <w:p>
      <w:pPr>
        <w:pStyle w:val="5"/>
      </w:pPr>
      <w:r>
        <w:rPr>
          <w:rFonts w:hint="eastAsia"/>
        </w:rPr>
        <w:t>梁柱节点处，矩形钢管混凝土柱与非节点区连接可逢中、平外边或内边，优先采用逢中方式连接。</w:t>
      </w:r>
    </w:p>
    <w:p>
      <w:pPr>
        <w:pStyle w:val="5"/>
      </w:pPr>
      <w:r>
        <w:rPr>
          <w:rFonts w:hint="eastAsia"/>
        </w:rPr>
        <w:t>梁柱节点处，孔边到非加强钢板区柱钢板内侧的距离不应小于125mm。中间层梁高方向距离加强钢板边缘最小距离</w:t>
      </w:r>
      <w:r>
        <w:rPr>
          <w:rFonts w:hint="eastAsia"/>
          <w:i/>
        </w:rPr>
        <w:t>h</w:t>
      </w:r>
      <w:r>
        <w:rPr>
          <w:vertAlign w:val="subscript"/>
        </w:rPr>
        <w:t>3</w:t>
      </w:r>
      <w:r>
        <w:rPr>
          <w:rFonts w:hint="eastAsia"/>
        </w:rPr>
        <w:t>不应小于100mm；顶层加强钢板高度方向下孔边缘最小距离不应小于125mm，上孔边缘最小距离不应小于5</w:t>
      </w:r>
      <w:r>
        <w:t>0</w:t>
      </w:r>
      <w:r>
        <w:rPr>
          <w:rFonts w:hint="eastAsia"/>
        </w:rPr>
        <w:t>mm。</w:t>
      </w:r>
    </w:p>
    <w:p>
      <w:pPr>
        <w:pStyle w:val="5"/>
      </w:pPr>
      <w:r>
        <w:rPr>
          <w:rFonts w:hint="eastAsia"/>
        </w:rPr>
        <w:t>混凝土梁在节点处抗剪承载力应满足设计要求，不满足要求时应采取相应措施。可在矩形钢管柱下孔口下边缘处设置抗剪钢板（图5），抗剪钢板的厚度不应小于16mm。抗剪钢板与矩形柱采用双面角焊缝焊接，焊缝高度不小于0.7倍抗剪钢板板厚。</w:t>
      </w:r>
    </w:p>
    <w:p>
      <w:pPr>
        <w:ind w:left="420" w:leftChars="200" w:firstLine="0" w:firstLineChars="0"/>
      </w:pPr>
      <w:r>
        <w:rPr>
          <w:rFonts w:hint="eastAsia"/>
        </w:rPr>
        <w:t xml:space="preserve">                         </w:t>
      </w:r>
      <w:r>
        <w:drawing>
          <wp:inline distT="0" distB="0" distL="114300" distR="114300">
            <wp:extent cx="1711325" cy="1965960"/>
            <wp:effectExtent l="0" t="0" r="3175" b="15240"/>
            <wp:docPr id="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true"/>
                    </pic:cNvPicPr>
                  </pic:nvPicPr>
                  <pic:blipFill>
                    <a:blip r:embed="rId36"/>
                    <a:stretch>
                      <a:fillRect/>
                    </a:stretch>
                  </pic:blipFill>
                  <pic:spPr>
                    <a:xfrm>
                      <a:off x="0" y="0"/>
                      <a:ext cx="1711325" cy="1965960"/>
                    </a:xfrm>
                    <a:prstGeom prst="rect">
                      <a:avLst/>
                    </a:prstGeom>
                    <a:noFill/>
                    <a:ln>
                      <a:noFill/>
                    </a:ln>
                  </pic:spPr>
                </pic:pic>
              </a:graphicData>
            </a:graphic>
          </wp:inline>
        </w:drawing>
      </w:r>
    </w:p>
    <w:p>
      <w:pPr>
        <w:spacing w:line="400" w:lineRule="exact"/>
        <w:ind w:firstLine="2730" w:firstLineChars="1300"/>
        <w:rPr>
          <w:rFonts w:ascii="黑体" w:hAnsi="黑体" w:eastAsia="黑体"/>
        </w:rPr>
      </w:pPr>
      <w:r>
        <w:rPr>
          <w:rFonts w:hint="eastAsia" w:ascii="黑体" w:hAnsi="黑体" w:eastAsia="黑体"/>
        </w:rPr>
        <w:t>图5</w:t>
      </w:r>
      <w:r>
        <w:rPr>
          <w:rFonts w:hint="eastAsia" w:ascii="黑体" w:hAnsi="黑体" w:eastAsia="黑体" w:cs="黑体"/>
        </w:rPr>
        <w:t>　</w:t>
      </w:r>
      <w:r>
        <w:rPr>
          <w:rFonts w:hint="eastAsia" w:ascii="黑体" w:hAnsi="黑体" w:eastAsia="黑体"/>
        </w:rPr>
        <w:t>抗剪钢板设置示意图</w:t>
      </w:r>
    </w:p>
    <w:p>
      <w:pPr>
        <w:pStyle w:val="5"/>
      </w:pPr>
      <w:r>
        <w:rPr>
          <w:rFonts w:hint="eastAsia"/>
        </w:rPr>
        <w:t>钢管混凝土柱顶层处应设盖板，盖板的厚度不应小于节点区钢板厚度且不宜小于于16mm。盖板中心部位宜设置混凝土浇筑孔，孔径不宜小于2</w:t>
      </w:r>
      <w:r>
        <w:t>00mm；盖板周边宜设置排气孔，孔径宜为25mm</w:t>
      </w:r>
      <w:r>
        <w:rPr>
          <w:rFonts w:hint="eastAsia"/>
        </w:rPr>
        <w:t xml:space="preserve">。               </w:t>
      </w:r>
    </w:p>
    <w:p>
      <w:pPr>
        <w:pStyle w:val="5"/>
        <w:rPr>
          <w:color w:val="5B9BD5" w:themeColor="accent1"/>
          <w14:textFill>
            <w14:solidFill>
              <w14:schemeClr w14:val="accent1"/>
            </w14:solidFill>
          </w14:textFill>
        </w:rPr>
      </w:pPr>
      <w:r>
        <w:rPr>
          <w:rFonts w:hint="eastAsia"/>
        </w:rPr>
        <w:t>梁腰筋应与钢管混凝土柱可靠连接，宜增设腰筋连接板与梁腰筋焊接。</w:t>
      </w:r>
    </w:p>
    <w:p>
      <w:pPr>
        <w:pStyle w:val="4"/>
        <w:keepNext w:val="0"/>
        <w:keepLines w:val="0"/>
        <w:ind w:right="210"/>
      </w:pPr>
      <w:r>
        <w:rPr>
          <w:rFonts w:hint="eastAsia"/>
        </w:rPr>
        <w:t>CF</w:t>
      </w:r>
      <w:r>
        <w:t>C</w:t>
      </w:r>
      <w:r>
        <w:rPr>
          <w:rFonts w:hint="eastAsia"/>
        </w:rPr>
        <w:t>ST-RB节点</w:t>
      </w:r>
    </w:p>
    <w:p>
      <w:pPr>
        <w:pStyle w:val="5"/>
      </w:pPr>
      <w:r>
        <w:rPr>
          <w:rFonts w:hint="eastAsia"/>
        </w:rPr>
        <w:t>钢筋混凝土梁通过钢筋穿过或锚入开孔钢管混凝土柱的方式形成刚性连接（图6）。</w:t>
      </w:r>
    </w:p>
    <w:p>
      <w:pPr>
        <w:tabs>
          <w:tab w:val="left" w:pos="420"/>
        </w:tabs>
        <w:ind w:firstLine="0" w:firstLineChars="0"/>
        <w:jc w:val="left"/>
      </w:pPr>
      <w:r>
        <w:rPr>
          <w:rFonts w:hint="eastAsia"/>
        </w:rPr>
        <w:t xml:space="preserve">  </w:t>
      </w:r>
      <w:r>
        <w:rPr>
          <w:rFonts w:hint="eastAsia"/>
        </w:rPr>
        <w:drawing>
          <wp:inline distT="0" distB="0" distL="114300" distR="114300">
            <wp:extent cx="5931535" cy="2417445"/>
            <wp:effectExtent l="0" t="0" r="12065" b="1905"/>
            <wp:docPr id="18" name="图片 18" descr="17325278118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732527811847"/>
                    <pic:cNvPicPr>
                      <a:picLocks noChangeAspect="true"/>
                    </pic:cNvPicPr>
                  </pic:nvPicPr>
                  <pic:blipFill>
                    <a:blip r:embed="rId37"/>
                    <a:stretch>
                      <a:fillRect/>
                    </a:stretch>
                  </pic:blipFill>
                  <pic:spPr>
                    <a:xfrm>
                      <a:off x="0" y="0"/>
                      <a:ext cx="5931535" cy="2417445"/>
                    </a:xfrm>
                    <a:prstGeom prst="rect">
                      <a:avLst/>
                    </a:prstGeom>
                  </pic:spPr>
                </pic:pic>
              </a:graphicData>
            </a:graphic>
          </wp:inline>
        </w:drawing>
      </w:r>
    </w:p>
    <w:p>
      <w:pPr>
        <w:ind w:firstLine="0" w:firstLineChars="0"/>
        <w:rPr>
          <w:rFonts w:cs="Times New Roman"/>
          <w:kern w:val="0"/>
          <w:szCs w:val="21"/>
          <w:lang w:bidi="ar"/>
        </w:rPr>
      </w:pPr>
      <w:r>
        <w:rPr>
          <w:rFonts w:cs="Times New Roman"/>
          <w:kern w:val="0"/>
          <w:szCs w:val="21"/>
          <w:lang w:bidi="ar"/>
        </w:rPr>
        <w:t xml:space="preserve">            </w:t>
      </w:r>
      <w:r>
        <w:rPr>
          <w:rFonts w:hint="eastAsia" w:ascii="宋体" w:hAnsi="宋体"/>
          <w:bCs/>
          <w:color w:val="000000"/>
          <w:spacing w:val="-3"/>
          <w:kern w:val="32"/>
          <w:szCs w:val="28"/>
        </w:rPr>
        <w:t>a)</w:t>
      </w:r>
      <w:r>
        <w:rPr>
          <w:rFonts w:cs="Times New Roman"/>
          <w:kern w:val="0"/>
          <w:szCs w:val="21"/>
          <w:lang w:bidi="ar"/>
        </w:rPr>
        <w:t>节点钢筋摆放立面图</w:t>
      </w:r>
      <w:r>
        <w:rPr>
          <w:rFonts w:cs="Times New Roman"/>
          <w:kern w:val="0"/>
          <w:szCs w:val="21"/>
          <w:lang w:bidi="ar"/>
        </w:rPr>
        <w:tab/>
      </w:r>
      <w:r>
        <w:rPr>
          <w:rFonts w:cs="Times New Roman"/>
          <w:kern w:val="0"/>
          <w:szCs w:val="21"/>
          <w:lang w:bidi="ar"/>
        </w:rPr>
        <w:tab/>
      </w:r>
      <w:r>
        <w:rPr>
          <w:rFonts w:cs="Times New Roman"/>
          <w:kern w:val="0"/>
          <w:szCs w:val="21"/>
          <w:lang w:bidi="ar"/>
        </w:rPr>
        <w:tab/>
      </w:r>
      <w:r>
        <w:rPr>
          <w:rFonts w:cs="Times New Roman"/>
          <w:kern w:val="0"/>
          <w:szCs w:val="21"/>
          <w:lang w:bidi="ar"/>
        </w:rPr>
        <w:tab/>
      </w:r>
      <w:r>
        <w:rPr>
          <w:rFonts w:cs="Times New Roman"/>
          <w:kern w:val="0"/>
          <w:szCs w:val="21"/>
          <w:lang w:bidi="ar"/>
        </w:rPr>
        <w:t xml:space="preserve"> </w:t>
      </w:r>
      <w:r>
        <w:rPr>
          <w:rFonts w:cs="Times New Roman"/>
          <w:kern w:val="0"/>
          <w:szCs w:val="21"/>
          <w:lang w:bidi="ar"/>
        </w:rPr>
        <w:tab/>
      </w:r>
      <w:r>
        <w:rPr>
          <w:rFonts w:cs="Times New Roman"/>
          <w:kern w:val="0"/>
          <w:szCs w:val="21"/>
          <w:lang w:bidi="ar"/>
        </w:rPr>
        <w:t xml:space="preserve">        </w:t>
      </w:r>
      <w:r>
        <w:rPr>
          <w:rFonts w:ascii="宋体" w:hAnsi="宋体"/>
          <w:bCs/>
          <w:color w:val="000000"/>
          <w:spacing w:val="-3"/>
          <w:kern w:val="32"/>
          <w:szCs w:val="28"/>
        </w:rPr>
        <w:t>b</w:t>
      </w:r>
      <w:r>
        <w:rPr>
          <w:rFonts w:hint="eastAsia" w:ascii="宋体" w:hAnsi="宋体"/>
          <w:bCs/>
          <w:color w:val="000000"/>
          <w:spacing w:val="-3"/>
          <w:kern w:val="32"/>
          <w:szCs w:val="28"/>
        </w:rPr>
        <w:t>)</w:t>
      </w:r>
      <w:r>
        <w:rPr>
          <w:rFonts w:cs="Times New Roman"/>
          <w:kern w:val="0"/>
          <w:szCs w:val="21"/>
          <w:lang w:bidi="ar"/>
        </w:rPr>
        <w:t>节点钢筋摆放平面图</w:t>
      </w:r>
    </w:p>
    <w:p>
      <w:pPr>
        <w:ind w:firstLine="0" w:firstLineChars="0"/>
        <w:jc w:val="center"/>
        <w:rPr>
          <w:rFonts w:cs="Times New Roman"/>
          <w:kern w:val="0"/>
          <w:szCs w:val="21"/>
          <w:lang w:bidi="ar"/>
        </w:rPr>
      </w:pPr>
      <w:r>
        <w:rPr>
          <w:rFonts w:hint="eastAsia" w:ascii="黑体" w:hAnsi="黑体" w:eastAsia="黑体"/>
        </w:rPr>
        <w:t>图6</w:t>
      </w:r>
      <w:r>
        <w:rPr>
          <w:rFonts w:hint="eastAsia" w:ascii="黑体" w:hAnsi="黑体" w:eastAsia="黑体" w:cs="黑体"/>
        </w:rPr>
        <w:t>　</w:t>
      </w:r>
      <w:r>
        <w:rPr>
          <w:rFonts w:hint="eastAsia" w:ascii="黑体" w:hAnsi="黑体" w:eastAsia="黑体"/>
        </w:rPr>
        <w:t>节点钢筋摆放示意图</w:t>
      </w:r>
    </w:p>
    <w:p>
      <w:pPr>
        <w:ind w:firstLine="210" w:firstLineChars="100"/>
        <w:jc w:val="center"/>
        <w:rPr>
          <w:rFonts w:cs="Times New Roman"/>
          <w:kern w:val="0"/>
          <w:szCs w:val="21"/>
          <w:lang w:bidi="ar"/>
        </w:rPr>
      </w:pPr>
      <w:r>
        <w:rPr>
          <w:rFonts w:hint="eastAsia" w:cs="Times New Roman"/>
          <w:kern w:val="0"/>
          <w:szCs w:val="21"/>
          <w:lang w:bidi="ar"/>
        </w:rPr>
        <w:t>1</w:t>
      </w:r>
      <w:r>
        <w:rPr>
          <w:rFonts w:cs="Times New Roman"/>
          <w:kern w:val="0"/>
          <w:szCs w:val="21"/>
          <w:lang w:bidi="ar"/>
        </w:rPr>
        <w:t>—</w:t>
      </w:r>
      <w:r>
        <w:rPr>
          <w:rFonts w:hint="eastAsia" w:cs="Times New Roman"/>
          <w:kern w:val="0"/>
          <w:szCs w:val="21"/>
          <w:lang w:bidi="ar"/>
        </w:rPr>
        <w:t>钢筋混凝土梁；2</w:t>
      </w:r>
      <w:r>
        <w:rPr>
          <w:rFonts w:cs="Times New Roman"/>
          <w:kern w:val="0"/>
          <w:szCs w:val="21"/>
          <w:lang w:bidi="ar"/>
        </w:rPr>
        <w:t>—</w:t>
      </w:r>
      <w:r>
        <w:rPr>
          <w:rFonts w:hint="eastAsia" w:cs="Times New Roman"/>
          <w:kern w:val="0"/>
          <w:szCs w:val="21"/>
          <w:lang w:bidi="ar"/>
        </w:rPr>
        <w:t>圆形钢管混凝土柱；</w:t>
      </w:r>
      <w:r>
        <w:rPr>
          <w:rFonts w:cs="Times New Roman"/>
          <w:kern w:val="0"/>
          <w:szCs w:val="21"/>
          <w:lang w:bidi="ar"/>
        </w:rPr>
        <w:t>3—X</w:t>
      </w:r>
      <w:r>
        <w:rPr>
          <w:rFonts w:hint="eastAsia" w:cs="Times New Roman"/>
          <w:kern w:val="0"/>
          <w:szCs w:val="21"/>
          <w:lang w:bidi="ar"/>
        </w:rPr>
        <w:t>向梁面钢筋；</w:t>
      </w:r>
      <w:r>
        <w:rPr>
          <w:rFonts w:cs="Times New Roman"/>
          <w:kern w:val="0"/>
          <w:szCs w:val="21"/>
          <w:lang w:bidi="ar"/>
        </w:rPr>
        <w:t>4—Y</w:t>
      </w:r>
      <w:r>
        <w:rPr>
          <w:rFonts w:hint="eastAsia" w:cs="Times New Roman"/>
          <w:kern w:val="0"/>
          <w:szCs w:val="21"/>
          <w:lang w:bidi="ar"/>
        </w:rPr>
        <w:t>向梁面钢筋；</w:t>
      </w:r>
    </w:p>
    <w:p>
      <w:pPr>
        <w:ind w:firstLine="210" w:firstLineChars="100"/>
        <w:jc w:val="center"/>
        <w:rPr>
          <w:rFonts w:cs="Times New Roman"/>
          <w:kern w:val="0"/>
          <w:szCs w:val="21"/>
          <w:lang w:bidi="ar"/>
        </w:rPr>
      </w:pPr>
      <w:r>
        <w:rPr>
          <w:rFonts w:cs="Times New Roman"/>
          <w:kern w:val="0"/>
          <w:szCs w:val="21"/>
          <w:lang w:bidi="ar"/>
        </w:rPr>
        <w:t>5—X</w:t>
      </w:r>
      <w:r>
        <w:rPr>
          <w:rFonts w:hint="eastAsia" w:cs="Times New Roman"/>
          <w:kern w:val="0"/>
          <w:szCs w:val="21"/>
          <w:lang w:bidi="ar"/>
        </w:rPr>
        <w:t>向梁底钢筋；</w:t>
      </w:r>
      <w:r>
        <w:rPr>
          <w:rFonts w:cs="Times New Roman"/>
          <w:kern w:val="0"/>
          <w:szCs w:val="21"/>
          <w:lang w:bidi="ar"/>
        </w:rPr>
        <w:t>6—Y</w:t>
      </w:r>
      <w:r>
        <w:rPr>
          <w:rFonts w:hint="eastAsia" w:cs="Times New Roman"/>
          <w:kern w:val="0"/>
          <w:szCs w:val="21"/>
          <w:lang w:bidi="ar"/>
        </w:rPr>
        <w:t>向梁底钢筋</w:t>
      </w:r>
    </w:p>
    <w:p>
      <w:pPr>
        <w:pStyle w:val="5"/>
      </w:pPr>
      <w:r>
        <w:rPr>
          <w:rFonts w:hint="eastAsia"/>
        </w:rPr>
        <w:t>梁柱节点处，钢管柱开孔应满足以下要求（图7）：</w:t>
      </w:r>
    </w:p>
    <w:p>
      <w:pPr>
        <w:numPr>
          <w:ilvl w:val="0"/>
          <w:numId w:val="23"/>
        </w:numPr>
        <w:ind w:left="0" w:firstLine="420" w:firstLineChars="0"/>
      </w:pPr>
      <w:r>
        <w:rPr>
          <w:rFonts w:hint="eastAsia"/>
        </w:rPr>
        <w:t>梁高hb不大于400mm时，根据计算分析结果，可在梁高范围内开一个孔；</w:t>
      </w:r>
    </w:p>
    <w:p>
      <w:pPr>
        <w:numPr>
          <w:ilvl w:val="0"/>
          <w:numId w:val="23"/>
        </w:numPr>
        <w:ind w:left="0" w:firstLine="420" w:firstLineChars="0"/>
      </w:pPr>
      <w:r>
        <w:rPr>
          <w:rFonts w:hint="eastAsia"/>
        </w:rPr>
        <w:t>梁高hb大于4</w:t>
      </w:r>
      <w:r>
        <w:t>00mm时，可</w:t>
      </w:r>
      <w:r>
        <w:rPr>
          <w:rFonts w:hint="eastAsia"/>
        </w:rPr>
        <w:t>在钢管柱沿梁的高度方向逢中开设两个孔口，孔口高度可按250 mm和 1/3梁高取小值，孔口净距不小于1</w:t>
      </w:r>
      <w:r>
        <w:t>50mm</w:t>
      </w:r>
      <w:r>
        <w:rPr>
          <w:rFonts w:hint="eastAsia"/>
        </w:rPr>
        <w:t>。</w:t>
      </w:r>
    </w:p>
    <w:p>
      <w:pPr>
        <w:ind w:left="-210" w:leftChars="-100" w:firstLine="0" w:firstLineChars="0"/>
        <w:jc w:val="center"/>
      </w:pPr>
      <w:r>
        <w:rPr>
          <w:rFonts w:hint="eastAsia"/>
        </w:rPr>
        <w:t xml:space="preserve"> </w:t>
      </w:r>
      <w:r>
        <w:rPr>
          <w:rFonts w:hint="eastAsia"/>
        </w:rPr>
        <w:drawing>
          <wp:inline distT="0" distB="0" distL="114300" distR="114300">
            <wp:extent cx="2827020" cy="2907665"/>
            <wp:effectExtent l="0" t="0" r="11430" b="6985"/>
            <wp:docPr id="23" name="图片 23" descr="1732533828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732533828144"/>
                    <pic:cNvPicPr>
                      <a:picLocks noChangeAspect="true"/>
                    </pic:cNvPicPr>
                  </pic:nvPicPr>
                  <pic:blipFill>
                    <a:blip r:embed="rId38"/>
                    <a:stretch>
                      <a:fillRect/>
                    </a:stretch>
                  </pic:blipFill>
                  <pic:spPr>
                    <a:xfrm>
                      <a:off x="0" y="0"/>
                      <a:ext cx="2827020" cy="2907665"/>
                    </a:xfrm>
                    <a:prstGeom prst="rect">
                      <a:avLst/>
                    </a:prstGeom>
                  </pic:spPr>
                </pic:pic>
              </a:graphicData>
            </a:graphic>
          </wp:inline>
        </w:drawing>
      </w:r>
    </w:p>
    <w:p>
      <w:pPr>
        <w:ind w:left="-210" w:leftChars="-100" w:firstLine="0" w:firstLineChars="0"/>
        <w:jc w:val="center"/>
      </w:pPr>
      <w:r>
        <w:rPr>
          <w:rFonts w:hint="eastAsia" w:cs="Times New Roman"/>
          <w:kern w:val="0"/>
          <w:szCs w:val="21"/>
          <w:lang w:bidi="ar"/>
        </w:rPr>
        <w:t>a</w:t>
      </w:r>
      <w:r>
        <w:rPr>
          <w:rFonts w:hint="eastAsia" w:ascii="宋体" w:hAnsi="宋体"/>
          <w:bCs/>
          <w:color w:val="000000"/>
          <w:spacing w:val="-3"/>
          <w:kern w:val="32"/>
          <w:szCs w:val="28"/>
        </w:rPr>
        <w:t>)</w:t>
      </w:r>
      <w:r>
        <w:rPr>
          <w:rFonts w:ascii="宋体" w:hAnsi="宋体"/>
          <w:bCs/>
          <w:color w:val="000000"/>
          <w:spacing w:val="-3"/>
          <w:kern w:val="32"/>
          <w:szCs w:val="28"/>
        </w:rPr>
        <w:t xml:space="preserve"> </w:t>
      </w:r>
      <w:r>
        <w:rPr>
          <w:rFonts w:cs="Times New Roman"/>
          <w:kern w:val="0"/>
          <w:szCs w:val="21"/>
          <w:lang w:bidi="ar"/>
        </w:rPr>
        <w:t>节点</w:t>
      </w:r>
      <w:r>
        <w:rPr>
          <w:rFonts w:hint="eastAsia" w:cs="Times New Roman"/>
          <w:kern w:val="0"/>
          <w:szCs w:val="21"/>
          <w:lang w:bidi="ar"/>
        </w:rPr>
        <w:t>平面</w:t>
      </w:r>
    </w:p>
    <w:p>
      <w:pPr>
        <w:ind w:left="-210" w:leftChars="-100" w:firstLine="0" w:firstLineChars="0"/>
        <w:jc w:val="center"/>
        <w:rPr>
          <w:rFonts w:cs="Times New Roman"/>
          <w:kern w:val="0"/>
          <w:szCs w:val="21"/>
          <w:lang w:bidi="ar"/>
        </w:rPr>
      </w:pPr>
      <w:r>
        <w:rPr>
          <w:rFonts w:hint="eastAsia" w:cs="Times New Roman"/>
          <w:kern w:val="0"/>
          <w:szCs w:val="21"/>
        </w:rPr>
        <w:drawing>
          <wp:inline distT="0" distB="0" distL="114300" distR="114300">
            <wp:extent cx="5792470" cy="3082925"/>
            <wp:effectExtent l="0" t="0" r="17780" b="3175"/>
            <wp:docPr id="24" name="图片 24" descr="1732533896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732533896147"/>
                    <pic:cNvPicPr>
                      <a:picLocks noChangeAspect="true"/>
                    </pic:cNvPicPr>
                  </pic:nvPicPr>
                  <pic:blipFill>
                    <a:blip r:embed="rId39"/>
                    <a:stretch>
                      <a:fillRect/>
                    </a:stretch>
                  </pic:blipFill>
                  <pic:spPr>
                    <a:xfrm>
                      <a:off x="0" y="0"/>
                      <a:ext cx="5792470" cy="3082925"/>
                    </a:xfrm>
                    <a:prstGeom prst="rect">
                      <a:avLst/>
                    </a:prstGeom>
                  </pic:spPr>
                </pic:pic>
              </a:graphicData>
            </a:graphic>
          </wp:inline>
        </w:drawing>
      </w:r>
    </w:p>
    <w:p>
      <w:pPr>
        <w:ind w:firstLine="1050" w:firstLineChars="500"/>
      </w:pPr>
      <w:r>
        <w:rPr>
          <w:rFonts w:hint="eastAsia" w:cs="Times New Roman"/>
          <w:kern w:val="0"/>
          <w:szCs w:val="21"/>
          <w:lang w:bidi="ar"/>
        </w:rPr>
        <w:t>b</w:t>
      </w:r>
      <w:r>
        <w:rPr>
          <w:rFonts w:hint="eastAsia" w:ascii="宋体" w:hAnsi="宋体"/>
          <w:bCs/>
          <w:color w:val="000000"/>
          <w:spacing w:val="-3"/>
          <w:kern w:val="32"/>
          <w:szCs w:val="28"/>
        </w:rPr>
        <w:t>)</w:t>
      </w:r>
      <w:r>
        <w:rPr>
          <w:rFonts w:ascii="宋体" w:hAnsi="宋体"/>
          <w:bCs/>
          <w:color w:val="000000"/>
          <w:spacing w:val="-3"/>
          <w:kern w:val="32"/>
          <w:szCs w:val="28"/>
        </w:rPr>
        <w:t xml:space="preserve"> </w:t>
      </w:r>
      <w:r>
        <w:rPr>
          <w:rFonts w:hint="eastAsia" w:cs="Times New Roman"/>
          <w:kern w:val="0"/>
          <w:szCs w:val="21"/>
          <w:lang w:bidi="ar"/>
        </w:rPr>
        <w:t>开</w:t>
      </w:r>
      <w:r>
        <w:rPr>
          <w:rFonts w:cs="Times New Roman"/>
          <w:kern w:val="0"/>
          <w:szCs w:val="21"/>
          <w:lang w:bidi="ar"/>
        </w:rPr>
        <w:t>双孔节点立</w:t>
      </w:r>
      <w:r>
        <w:rPr>
          <w:rFonts w:hint="eastAsia" w:cs="Times New Roman"/>
          <w:kern w:val="0"/>
          <w:szCs w:val="21"/>
          <w:lang w:bidi="ar"/>
        </w:rPr>
        <w:t xml:space="preserve">面 </w:t>
      </w:r>
      <w:r>
        <w:rPr>
          <w:rFonts w:cs="Times New Roman"/>
          <w:kern w:val="0"/>
          <w:szCs w:val="21"/>
          <w:lang w:bidi="ar"/>
        </w:rPr>
        <w:t xml:space="preserve">                </w:t>
      </w:r>
      <w:r>
        <w:rPr>
          <w:rFonts w:hint="eastAsia" w:cs="Times New Roman"/>
          <w:kern w:val="0"/>
          <w:szCs w:val="21"/>
          <w:lang w:bidi="ar"/>
        </w:rPr>
        <w:t xml:space="preserve">         </w:t>
      </w:r>
      <w:r>
        <w:rPr>
          <w:rFonts w:cs="Times New Roman"/>
          <w:kern w:val="0"/>
          <w:szCs w:val="21"/>
          <w:lang w:bidi="ar"/>
        </w:rPr>
        <w:t xml:space="preserve">  </w:t>
      </w:r>
      <w:r>
        <w:rPr>
          <w:rFonts w:hint="eastAsia" w:cs="Times New Roman"/>
          <w:kern w:val="0"/>
          <w:szCs w:val="21"/>
          <w:lang w:bidi="ar"/>
        </w:rPr>
        <w:t>c</w:t>
      </w:r>
      <w:r>
        <w:rPr>
          <w:rFonts w:hint="eastAsia" w:ascii="宋体" w:hAnsi="宋体"/>
          <w:bCs/>
          <w:color w:val="000000"/>
          <w:spacing w:val="-3"/>
          <w:kern w:val="32"/>
          <w:szCs w:val="28"/>
        </w:rPr>
        <w:t>)</w:t>
      </w:r>
      <w:r>
        <w:rPr>
          <w:rFonts w:ascii="宋体" w:hAnsi="宋体"/>
          <w:bCs/>
          <w:color w:val="000000"/>
          <w:spacing w:val="-3"/>
          <w:kern w:val="32"/>
          <w:szCs w:val="28"/>
        </w:rPr>
        <w:t xml:space="preserve"> </w:t>
      </w:r>
      <w:r>
        <w:rPr>
          <w:rFonts w:hint="eastAsia" w:cs="Times New Roman"/>
          <w:kern w:val="0"/>
          <w:szCs w:val="21"/>
          <w:lang w:bidi="ar"/>
        </w:rPr>
        <w:t>开单</w:t>
      </w:r>
      <w:r>
        <w:rPr>
          <w:rFonts w:cs="Times New Roman"/>
          <w:kern w:val="0"/>
          <w:szCs w:val="21"/>
          <w:lang w:bidi="ar"/>
        </w:rPr>
        <w:t>孔节点立</w:t>
      </w:r>
      <w:r>
        <w:rPr>
          <w:rFonts w:hint="eastAsia" w:cs="Times New Roman"/>
          <w:kern w:val="0"/>
          <w:szCs w:val="21"/>
          <w:lang w:bidi="ar"/>
        </w:rPr>
        <w:t>面</w:t>
      </w:r>
    </w:p>
    <w:p>
      <w:pPr>
        <w:spacing w:line="400" w:lineRule="exact"/>
        <w:ind w:firstLine="420"/>
        <w:jc w:val="center"/>
        <w:rPr>
          <w:rFonts w:ascii="黑体" w:hAnsi="黑体" w:eastAsia="黑体" w:cs="宋体"/>
        </w:rPr>
      </w:pPr>
      <w:r>
        <w:rPr>
          <w:rFonts w:hint="eastAsia" w:ascii="黑体" w:hAnsi="黑体" w:eastAsia="黑体" w:cs="宋体"/>
        </w:rPr>
        <w:t>图7</w:t>
      </w:r>
      <w:r>
        <w:rPr>
          <w:rFonts w:hint="eastAsia" w:ascii="黑体" w:hAnsi="黑体" w:eastAsia="黑体" w:cs="黑体"/>
        </w:rPr>
        <w:t>　</w:t>
      </w:r>
      <w:r>
        <w:rPr>
          <w:rFonts w:hint="eastAsia" w:ascii="黑体" w:hAnsi="黑体" w:eastAsia="黑体" w:cs="宋体"/>
        </w:rPr>
        <w:t>梁柱节点处钢管混凝土柱开孔示意图</w:t>
      </w:r>
    </w:p>
    <w:p>
      <w:pPr>
        <w:ind w:firstLine="210" w:firstLineChars="100"/>
        <w:jc w:val="center"/>
        <w:rPr>
          <w:rFonts w:cs="Times New Roman"/>
          <w:kern w:val="0"/>
          <w:szCs w:val="21"/>
          <w:lang w:bidi="ar"/>
        </w:rPr>
      </w:pPr>
      <w:r>
        <w:rPr>
          <w:rFonts w:cs="Times New Roman"/>
          <w:i/>
          <w:kern w:val="0"/>
          <w:szCs w:val="21"/>
          <w:lang w:bidi="ar"/>
        </w:rPr>
        <w:t>Ɵ</w:t>
      </w:r>
      <w:r>
        <w:rPr>
          <w:rFonts w:cs="Times New Roman"/>
          <w:kern w:val="0"/>
          <w:szCs w:val="21"/>
          <w:lang w:bidi="ar"/>
        </w:rPr>
        <w:t>—</w:t>
      </w:r>
      <w:r>
        <w:rPr>
          <w:rFonts w:hint="eastAsia" w:cs="Times New Roman"/>
          <w:kern w:val="0"/>
          <w:szCs w:val="21"/>
          <w:lang w:bidi="ar"/>
        </w:rPr>
        <w:t>开孔内边夹角；</w:t>
      </w:r>
      <w:r>
        <w:rPr>
          <w:rFonts w:hint="eastAsia" w:cs="Times New Roman"/>
          <w:i/>
          <w:kern w:val="0"/>
          <w:szCs w:val="21"/>
          <w:lang w:bidi="ar"/>
        </w:rPr>
        <w:t>b</w:t>
      </w:r>
      <w:r>
        <w:rPr>
          <w:rFonts w:cs="Times New Roman"/>
          <w:kern w:val="0"/>
          <w:szCs w:val="21"/>
          <w:vertAlign w:val="subscript"/>
          <w:lang w:bidi="ar"/>
        </w:rPr>
        <w:t>0</w:t>
      </w:r>
      <w:r>
        <w:rPr>
          <w:rFonts w:cs="Times New Roman"/>
          <w:kern w:val="0"/>
          <w:szCs w:val="21"/>
          <w:lang w:bidi="ar"/>
        </w:rPr>
        <w:t>—</w:t>
      </w:r>
      <w:r>
        <w:rPr>
          <w:rFonts w:hint="eastAsia" w:cs="Times New Roman"/>
          <w:kern w:val="0"/>
          <w:szCs w:val="21"/>
          <w:lang w:bidi="ar"/>
        </w:rPr>
        <w:t>开孔宽度；</w:t>
      </w:r>
      <w:r>
        <w:rPr>
          <w:rFonts w:hint="eastAsia" w:cs="Times New Roman"/>
          <w:i/>
          <w:kern w:val="0"/>
          <w:szCs w:val="21"/>
          <w:lang w:bidi="ar"/>
        </w:rPr>
        <w:t>t</w:t>
      </w:r>
      <w:r>
        <w:rPr>
          <w:rFonts w:cs="Times New Roman"/>
          <w:kern w:val="0"/>
          <w:szCs w:val="21"/>
          <w:vertAlign w:val="subscript"/>
          <w:lang w:bidi="ar"/>
        </w:rPr>
        <w:t>j</w:t>
      </w:r>
      <w:r>
        <w:rPr>
          <w:rFonts w:cs="Times New Roman"/>
          <w:kern w:val="0"/>
          <w:szCs w:val="21"/>
          <w:lang w:bidi="ar"/>
        </w:rPr>
        <w:t>—开孔区域钢管管壁</w:t>
      </w:r>
      <w:r>
        <w:rPr>
          <w:rFonts w:hint="eastAsia" w:cs="Times New Roman"/>
          <w:kern w:val="0"/>
          <w:szCs w:val="21"/>
          <w:lang w:bidi="ar"/>
        </w:rPr>
        <w:t>厚度；c</w:t>
      </w:r>
      <w:r>
        <w:rPr>
          <w:rFonts w:cs="Times New Roman"/>
          <w:kern w:val="0"/>
          <w:szCs w:val="21"/>
          <w:lang w:bidi="ar"/>
        </w:rPr>
        <w:t>—</w:t>
      </w:r>
      <w:r>
        <w:rPr>
          <w:rFonts w:hint="eastAsia" w:cs="Times New Roman"/>
          <w:kern w:val="0"/>
          <w:szCs w:val="21"/>
          <w:lang w:bidi="ar"/>
        </w:rPr>
        <w:t>取2</w:t>
      </w:r>
      <w:r>
        <w:rPr>
          <w:rFonts w:cs="Times New Roman"/>
          <w:kern w:val="0"/>
          <w:szCs w:val="21"/>
          <w:lang w:bidi="ar"/>
        </w:rPr>
        <w:t>5mm</w:t>
      </w:r>
    </w:p>
    <w:p>
      <w:pPr>
        <w:pStyle w:val="5"/>
      </w:pPr>
      <w:r>
        <w:rPr>
          <w:rFonts w:hint="eastAsia"/>
        </w:rPr>
        <w:t>梁柱节点处，圆形钢管混凝土柱钢板的厚度</w:t>
      </w:r>
      <w:r>
        <w:rPr>
          <w:rFonts w:hint="eastAsia" w:cs="Times New Roman"/>
          <w:i/>
          <w:szCs w:val="21"/>
          <w:lang w:bidi="ar"/>
        </w:rPr>
        <w:t>t</w:t>
      </w:r>
      <w:r>
        <w:rPr>
          <w:rFonts w:cs="Times New Roman"/>
          <w:szCs w:val="21"/>
          <w:vertAlign w:val="subscript"/>
          <w:lang w:bidi="ar"/>
        </w:rPr>
        <w:t>j</w:t>
      </w:r>
      <w:r>
        <w:rPr>
          <w:rFonts w:hint="eastAsia"/>
        </w:rPr>
        <w:t>须根据梁截面开孔大小</w:t>
      </w:r>
      <w:r>
        <w:t>按</w:t>
      </w:r>
      <w:r>
        <w:rPr>
          <w:rFonts w:hint="eastAsia"/>
        </w:rPr>
        <w:t>等面积补强</w:t>
      </w:r>
      <w:r>
        <w:t>原则进行截面补强</w:t>
      </w:r>
      <w:r>
        <w:rPr>
          <w:rFonts w:hint="eastAsia"/>
        </w:rPr>
        <w:t>，补强后节点区钢板总截面面积不小于非节点区钢板总截面面积。</w:t>
      </w:r>
    </w:p>
    <w:p>
      <w:pPr>
        <w:pStyle w:val="5"/>
      </w:pPr>
      <w:r>
        <w:rPr>
          <w:rFonts w:hint="eastAsia"/>
        </w:rPr>
        <w:t>梁柱节点处，圆形钢管混凝土柱与非节点区连接可逢中、平外边或内边，优先采用逢中方式连接。</w:t>
      </w:r>
    </w:p>
    <w:p>
      <w:pPr>
        <w:pStyle w:val="5"/>
      </w:pPr>
      <w:r>
        <w:rPr>
          <w:rFonts w:hint="eastAsia"/>
        </w:rPr>
        <w:t>梁柱节点处，圆形钢管混凝土柱钢板的厚度不宜大于60mm；开孔内边夹角</w:t>
      </w:r>
      <w:r>
        <w:rPr>
          <w:rFonts w:cs="Times New Roman"/>
          <w:i/>
          <w:szCs w:val="21"/>
          <w:lang w:bidi="ar"/>
        </w:rPr>
        <w:t>θ</w:t>
      </w:r>
      <w:r>
        <w:rPr>
          <w:rFonts w:hint="eastAsia"/>
        </w:rPr>
        <w:t>不</w:t>
      </w:r>
      <w:r>
        <w:t>宜</w:t>
      </w:r>
      <w:r>
        <w:rPr>
          <w:rFonts w:hint="eastAsia"/>
        </w:rPr>
        <w:t>大于45°</w:t>
      </w:r>
      <w:r>
        <w:t>，</w:t>
      </w:r>
      <w:r>
        <w:rPr>
          <w:rFonts w:hint="eastAsia"/>
        </w:rPr>
        <w:t>不</w:t>
      </w:r>
      <w:r>
        <w:t>应</w:t>
      </w:r>
      <w:r>
        <w:rPr>
          <w:rFonts w:hint="eastAsia"/>
        </w:rPr>
        <w:t>大于</w:t>
      </w:r>
      <w:r>
        <w:t>50</w:t>
      </w:r>
      <w:r>
        <w:rPr>
          <w:rFonts w:hint="eastAsia"/>
        </w:rPr>
        <w:t>°</w:t>
      </w:r>
      <w:r>
        <w:t>，</w:t>
      </w:r>
      <w:r>
        <w:rPr>
          <w:rFonts w:hint="eastAsia"/>
        </w:rPr>
        <w:t>四边开孔内边夹角总和不应大于180°</w:t>
      </w:r>
      <w:r>
        <w:t>；相邻孔口之间未开孔钢管壁内边夹角不应小于</w:t>
      </w:r>
      <w:r>
        <w:rPr>
          <w:rFonts w:hint="eastAsia"/>
        </w:rPr>
        <w:t>45°</w:t>
      </w:r>
      <w:r>
        <w:t>。</w:t>
      </w:r>
    </w:p>
    <w:p>
      <w:pPr>
        <w:pStyle w:val="5"/>
      </w:pPr>
      <w:r>
        <w:rPr>
          <w:rFonts w:hint="eastAsia"/>
        </w:rPr>
        <w:t>梁柱节点处，中间层梁高方向距离加强钢板边缘最小距离</w:t>
      </w:r>
      <w:r>
        <w:rPr>
          <w:rFonts w:hint="eastAsia"/>
          <w:i/>
          <w:iCs/>
        </w:rPr>
        <w:t>h</w:t>
      </w:r>
      <w:r>
        <w:rPr>
          <w:rFonts w:hint="eastAsia"/>
          <w:vertAlign w:val="subscript"/>
        </w:rPr>
        <w:t>3</w:t>
      </w:r>
      <w:r>
        <w:rPr>
          <w:rFonts w:hint="eastAsia"/>
        </w:rPr>
        <w:t>不应小于100mm；顶层加强钢板高度方向下孔边缘最小距离不应小于125mm，上孔边缘最小距离不应小于50mm。</w:t>
      </w:r>
    </w:p>
    <w:p>
      <w:pPr>
        <w:pStyle w:val="5"/>
      </w:pPr>
      <w:r>
        <w:rPr>
          <w:rFonts w:hint="eastAsia"/>
        </w:rPr>
        <w:t>混凝土梁在节点处抗剪承载力应满足设计要求，不满足要求时应采取相应措施。可在圆形钢管柱下孔口下边缘处设置抗剪钢板，抗剪钢板的厚度不应小于16mm。抗剪钢板与圆形柱采用双面角焊缝焊接，焊缝高度不小于0.7倍抗剪钢板板厚。</w:t>
      </w:r>
    </w:p>
    <w:p>
      <w:pPr>
        <w:pStyle w:val="5"/>
      </w:pPr>
      <w:r>
        <w:rPr>
          <w:rFonts w:hint="eastAsia"/>
        </w:rPr>
        <w:t>钢管混凝土柱顶层处应设盖板，盖板的厚度不应小于节点区钢板厚度且不小于30mm。盖板中心部位宜设置混凝土浇筑孔，孔径不宜小于200mm；盖板周边宜设置排气孔，孔径宜为25mm。</w:t>
      </w:r>
    </w:p>
    <w:p>
      <w:pPr>
        <w:pStyle w:val="5"/>
      </w:pPr>
      <w:r>
        <w:rPr>
          <w:rFonts w:hint="eastAsia"/>
        </w:rPr>
        <w:t>梁腰筋应与钢管混凝土柱可靠连接，宜增设腰筋连接板与梁腰筋焊接。</w:t>
      </w:r>
    </w:p>
    <w:p>
      <w:pPr>
        <w:pStyle w:val="4"/>
        <w:keepNext w:val="0"/>
        <w:keepLines w:val="0"/>
        <w:ind w:right="210"/>
      </w:pPr>
      <w:r>
        <w:rPr>
          <w:rFonts w:hint="eastAsia"/>
        </w:rPr>
        <w:t>RC-SB节点</w:t>
      </w:r>
    </w:p>
    <w:p>
      <w:pPr>
        <w:pStyle w:val="5"/>
      </w:pPr>
      <w:r>
        <w:rPr>
          <w:rFonts w:hint="eastAsia"/>
        </w:rPr>
        <w:t>钢梁-钢筋混凝土柱连接节点可采用柱节点域内置水平加劲外包钢板+悬臂梁段的节点形式（图8），节点连接件由外包钢板、水平加劲和悬臂梁段组成，节点连接件应在工厂预制。</w:t>
      </w:r>
    </w:p>
    <w:p>
      <w:pPr>
        <w:ind w:firstLine="420"/>
      </w:pPr>
      <w:r>
        <w:rPr>
          <w:rFonts w:hint="eastAsia"/>
        </w:rPr>
        <w:t xml:space="preserve">     </w:t>
      </w:r>
      <w:r>
        <w:drawing>
          <wp:inline distT="0" distB="0" distL="114300" distR="114300">
            <wp:extent cx="2298700" cy="2002790"/>
            <wp:effectExtent l="0" t="0" r="6350" b="16510"/>
            <wp:docPr id="117" name="图片 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true"/>
                    </pic:cNvPicPr>
                  </pic:nvPicPr>
                  <pic:blipFill>
                    <a:blip r:embed="rId40"/>
                    <a:stretch>
                      <a:fillRect/>
                    </a:stretch>
                  </pic:blipFill>
                  <pic:spPr>
                    <a:xfrm>
                      <a:off x="0" y="0"/>
                      <a:ext cx="2298700" cy="2002790"/>
                    </a:xfrm>
                    <a:prstGeom prst="rect">
                      <a:avLst/>
                    </a:prstGeom>
                  </pic:spPr>
                </pic:pic>
              </a:graphicData>
            </a:graphic>
          </wp:inline>
        </w:drawing>
      </w:r>
      <w:r>
        <w:drawing>
          <wp:inline distT="0" distB="0" distL="0" distR="0">
            <wp:extent cx="2058670" cy="1906905"/>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41"/>
                    <a:stretch>
                      <a:fillRect/>
                    </a:stretch>
                  </pic:blipFill>
                  <pic:spPr>
                    <a:xfrm>
                      <a:off x="0" y="0"/>
                      <a:ext cx="2104349" cy="1949362"/>
                    </a:xfrm>
                    <a:prstGeom prst="rect">
                      <a:avLst/>
                    </a:prstGeom>
                  </pic:spPr>
                </pic:pic>
              </a:graphicData>
            </a:graphic>
          </wp:inline>
        </w:drawing>
      </w:r>
    </w:p>
    <w:p>
      <w:pPr>
        <w:spacing w:line="400" w:lineRule="exact"/>
        <w:ind w:firstLine="2520" w:firstLineChars="1200"/>
        <w:rPr>
          <w:rFonts w:ascii="黑体" w:hAnsi="黑体" w:eastAsia="黑体" w:cs="宋体"/>
          <w:color w:val="000000"/>
          <w:kern w:val="0"/>
          <w:szCs w:val="21"/>
          <w:lang w:bidi="ar"/>
        </w:rPr>
      </w:pPr>
      <w:r>
        <w:rPr>
          <w:rFonts w:hint="eastAsia" w:ascii="黑体" w:hAnsi="黑体" w:eastAsia="黑体" w:cs="宋体"/>
          <w:color w:val="000000"/>
          <w:kern w:val="0"/>
          <w:szCs w:val="21"/>
          <w:lang w:bidi="ar"/>
        </w:rPr>
        <w:t>图8</w:t>
      </w:r>
      <w:r>
        <w:rPr>
          <w:rFonts w:hint="eastAsia" w:ascii="黑体" w:hAnsi="黑体" w:eastAsia="黑体" w:cs="黑体"/>
        </w:rPr>
        <w:t>　</w:t>
      </w:r>
      <w:r>
        <w:rPr>
          <w:rFonts w:hint="eastAsia" w:ascii="黑体" w:hAnsi="黑体" w:eastAsia="黑体"/>
        </w:rPr>
        <w:t>钢梁-钢筋混凝土柱</w:t>
      </w:r>
      <w:r>
        <w:rPr>
          <w:rFonts w:hint="eastAsia" w:ascii="黑体" w:hAnsi="黑体" w:eastAsia="黑体" w:cs="宋体"/>
          <w:color w:val="000000"/>
          <w:kern w:val="0"/>
          <w:szCs w:val="21"/>
          <w:lang w:bidi="ar"/>
        </w:rPr>
        <w:t>节点处示意</w:t>
      </w:r>
    </w:p>
    <w:p>
      <w:pPr>
        <w:ind w:firstLine="0" w:firstLineChars="0"/>
        <w:jc w:val="center"/>
        <w:rPr>
          <w:rFonts w:cs="Times New Roman"/>
          <w:kern w:val="0"/>
          <w:szCs w:val="21"/>
          <w:lang w:bidi="ar"/>
        </w:rPr>
      </w:pPr>
      <w:r>
        <w:rPr>
          <w:rFonts w:cs="Times New Roman"/>
          <w:kern w:val="0"/>
          <w:szCs w:val="21"/>
          <w:lang w:bidi="ar"/>
        </w:rPr>
        <w:t>1—外包钢板；2—悬臂梁段上翼缘；3—水平加劲；4—悬臂梁段腹板伸入外包钢板；</w:t>
      </w:r>
    </w:p>
    <w:p>
      <w:pPr>
        <w:ind w:firstLine="0" w:firstLineChars="0"/>
        <w:jc w:val="center"/>
        <w:rPr>
          <w:rFonts w:ascii="宋体" w:hAnsi="宋体" w:cs="宋体"/>
          <w:color w:val="000000"/>
          <w:kern w:val="0"/>
          <w:szCs w:val="21"/>
          <w:lang w:bidi="ar"/>
        </w:rPr>
      </w:pPr>
      <w:r>
        <w:rPr>
          <w:rFonts w:cs="Times New Roman"/>
          <w:kern w:val="0"/>
          <w:szCs w:val="21"/>
          <w:lang w:bidi="ar"/>
        </w:rPr>
        <w:t>5—浇筑孔； 6—穿筋孔</w:t>
      </w:r>
      <w:r>
        <w:rPr>
          <w:rFonts w:hint="eastAsia" w:ascii="宋体" w:hAnsi="宋体" w:cs="宋体"/>
          <w:color w:val="000000"/>
          <w:kern w:val="0"/>
          <w:szCs w:val="21"/>
          <w:lang w:bidi="ar"/>
        </w:rPr>
        <w:t xml:space="preserve"> </w:t>
      </w:r>
    </w:p>
    <w:p>
      <w:pPr>
        <w:pStyle w:val="5"/>
      </w:pPr>
      <w:r>
        <w:rPr>
          <w:rFonts w:hint="eastAsia"/>
        </w:rPr>
        <w:t>外包钢板外侧面与钢筋混凝土柱身外侧面重合，外包钢板竖向较上下水平加劲板位置外伸长度≥100mm；顶层节点中，外包钢板竖向可不设置上部外伸（图9）。</w:t>
      </w:r>
    </w:p>
    <w:p>
      <w:pPr>
        <w:pStyle w:val="32"/>
        <w:jc w:val="both"/>
      </w:pPr>
      <w:r>
        <w:rPr>
          <w:rFonts w:hint="eastAsia"/>
        </w:rPr>
        <w:t xml:space="preserve">             </w:t>
      </w:r>
      <w:r>
        <w:drawing>
          <wp:inline distT="0" distB="0" distL="0" distR="0">
            <wp:extent cx="3392170" cy="2389505"/>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42"/>
                    <a:stretch>
                      <a:fillRect/>
                    </a:stretch>
                  </pic:blipFill>
                  <pic:spPr>
                    <a:xfrm>
                      <a:off x="0" y="0"/>
                      <a:ext cx="3504703" cy="2468841"/>
                    </a:xfrm>
                    <a:prstGeom prst="rect">
                      <a:avLst/>
                    </a:prstGeom>
                  </pic:spPr>
                </pic:pic>
              </a:graphicData>
            </a:graphic>
          </wp:inline>
        </w:drawing>
      </w:r>
    </w:p>
    <w:p>
      <w:pPr>
        <w:pStyle w:val="32"/>
        <w:spacing w:before="0" w:line="400" w:lineRule="exact"/>
        <w:ind w:left="119"/>
        <w:rPr>
          <w:rFonts w:ascii="黑体" w:hAnsi="黑体" w:eastAsia="黑体"/>
          <w:color w:val="000000"/>
          <w:lang w:bidi="ar"/>
        </w:rPr>
      </w:pPr>
      <w:r>
        <w:rPr>
          <w:rFonts w:hint="eastAsia" w:ascii="黑体" w:hAnsi="黑体" w:eastAsia="黑体"/>
        </w:rPr>
        <w:t>图</w:t>
      </w:r>
      <w:r>
        <w:rPr>
          <w:rFonts w:hint="eastAsia" w:ascii="黑体" w:hAnsi="黑体" w:eastAsia="黑体" w:cs="Times New Roman"/>
        </w:rPr>
        <w:t>9</w:t>
      </w:r>
      <w:r>
        <w:rPr>
          <w:rFonts w:hint="eastAsia" w:ascii="黑体" w:hAnsi="黑体" w:eastAsia="黑体" w:cs="黑体"/>
        </w:rPr>
        <w:t>　</w:t>
      </w:r>
      <w:r>
        <w:rPr>
          <w:rFonts w:hint="eastAsia" w:ascii="黑体" w:hAnsi="黑体" w:eastAsia="黑体"/>
        </w:rPr>
        <w:t>外包钢板上下延伸区</w:t>
      </w:r>
      <w:r>
        <w:rPr>
          <w:rFonts w:hint="eastAsia" w:ascii="黑体" w:hAnsi="黑体" w:eastAsia="黑体"/>
          <w:color w:val="000000"/>
          <w:lang w:bidi="ar"/>
        </w:rPr>
        <w:t>示意</w:t>
      </w:r>
    </w:p>
    <w:p>
      <w:pPr>
        <w:ind w:firstLine="0" w:firstLineChars="0"/>
        <w:jc w:val="center"/>
        <w:rPr>
          <w:rFonts w:cs="Times New Roman"/>
          <w:kern w:val="0"/>
          <w:szCs w:val="21"/>
          <w:lang w:bidi="ar"/>
        </w:rPr>
      </w:pPr>
      <w:r>
        <w:rPr>
          <w:rFonts w:cs="Times New Roman"/>
          <w:kern w:val="0"/>
          <w:szCs w:val="21"/>
          <w:lang w:bidi="ar"/>
        </w:rPr>
        <w:t>1—外包钢板；2—悬臂梁段上翼缘；3—水平加劲；4—悬臂梁段腹板伸入外包钢板；</w:t>
      </w:r>
    </w:p>
    <w:p>
      <w:pPr>
        <w:pStyle w:val="75"/>
        <w:ind w:left="360"/>
        <w:jc w:val="center"/>
        <w:rPr>
          <w:kern w:val="0"/>
          <w:szCs w:val="21"/>
          <w:lang w:bidi="ar"/>
        </w:rPr>
      </w:pPr>
      <w:r>
        <w:t>7</w:t>
      </w:r>
      <w:r>
        <w:rPr>
          <w:kern w:val="0"/>
          <w:szCs w:val="21"/>
          <w:lang w:bidi="ar"/>
        </w:rPr>
        <w:t>—</w:t>
      </w:r>
      <w:r>
        <w:t>悬臂梁段下翼缘；8</w:t>
      </w:r>
      <w:r>
        <w:rPr>
          <w:kern w:val="0"/>
          <w:szCs w:val="21"/>
          <w:lang w:bidi="ar"/>
        </w:rPr>
        <w:t>—</w:t>
      </w:r>
      <w:r>
        <w:t>柱纵向钢筋；9</w:t>
      </w:r>
      <w:r>
        <w:rPr>
          <w:kern w:val="0"/>
          <w:szCs w:val="21"/>
          <w:lang w:bidi="ar"/>
        </w:rPr>
        <w:t>—</w:t>
      </w:r>
      <w:r>
        <w:t>柱箍筋</w:t>
      </w:r>
    </w:p>
    <w:p>
      <w:pPr>
        <w:pStyle w:val="5"/>
      </w:pPr>
      <w:r>
        <w:rPr>
          <w:rFonts w:hint="eastAsia"/>
        </w:rPr>
        <w:t>节点区外包钢板的厚度应满足表</w:t>
      </w:r>
      <w:r>
        <w:t>4</w:t>
      </w:r>
      <w:r>
        <w:rPr>
          <w:rFonts w:hint="eastAsia"/>
        </w:rPr>
        <w:t>的要求。</w:t>
      </w:r>
    </w:p>
    <w:p>
      <w:pPr>
        <w:pStyle w:val="32"/>
        <w:spacing w:before="0" w:line="400" w:lineRule="exact"/>
        <w:ind w:left="0" w:firstLine="0" w:firstLineChars="0"/>
        <w:rPr>
          <w:rFonts w:ascii="黑体" w:hAnsi="黑体" w:eastAsia="黑体" w:cstheme="minorBidi"/>
          <w:kern w:val="2"/>
          <w:szCs w:val="22"/>
        </w:rPr>
      </w:pPr>
      <w:r>
        <w:rPr>
          <w:rFonts w:hint="eastAsia" w:ascii="黑体" w:hAnsi="黑体" w:eastAsia="黑体"/>
          <w:bCs/>
        </w:rPr>
        <w:t>表</w:t>
      </w:r>
      <w:r>
        <w:rPr>
          <w:rFonts w:ascii="黑体" w:hAnsi="黑体" w:eastAsia="黑体"/>
          <w:bCs/>
        </w:rPr>
        <w:t>4</w:t>
      </w:r>
      <w:r>
        <w:rPr>
          <w:rFonts w:hint="eastAsia" w:ascii="黑体" w:hAnsi="黑体" w:eastAsia="黑体" w:cs="黑体"/>
        </w:rPr>
        <w:t>　</w:t>
      </w:r>
      <w:r>
        <w:rPr>
          <w:rFonts w:hint="eastAsia" w:ascii="黑体" w:hAnsi="黑体" w:eastAsia="黑体" w:cstheme="minorBidi"/>
          <w:kern w:val="2"/>
          <w:szCs w:val="22"/>
        </w:rPr>
        <w:t>节点外包钢板厚度</w:t>
      </w:r>
    </w:p>
    <w:tbl>
      <w:tblPr>
        <w:tblStyle w:val="34"/>
        <w:tblW w:w="0" w:type="auto"/>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225"/>
        <w:gridCol w:w="2187"/>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88"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抗震等级</w:t>
            </w:r>
          </w:p>
        </w:tc>
        <w:tc>
          <w:tcPr>
            <w:tcW w:w="2225"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一级</w:t>
            </w:r>
          </w:p>
        </w:tc>
        <w:tc>
          <w:tcPr>
            <w:tcW w:w="2187"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二级</w:t>
            </w:r>
          </w:p>
        </w:tc>
        <w:tc>
          <w:tcPr>
            <w:tcW w:w="2050"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三、四级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88"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钢板厚度</w:t>
            </w:r>
          </w:p>
        </w:tc>
        <w:tc>
          <w:tcPr>
            <w:tcW w:w="2225"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t≥</w:t>
            </w:r>
            <w:r>
              <w:rPr>
                <w:rFonts w:ascii="Times New Roman" w:cs="Times New Roman"/>
                <w:i/>
                <w:iCs/>
                <w:kern w:val="2"/>
                <w:sz w:val="18"/>
                <w:szCs w:val="18"/>
              </w:rPr>
              <w:t>B</w:t>
            </w:r>
            <w:r>
              <w:rPr>
                <w:rFonts w:ascii="Times New Roman" w:cs="Times New Roman"/>
                <w:kern w:val="2"/>
                <w:sz w:val="18"/>
                <w:szCs w:val="18"/>
                <w:vertAlign w:val="subscript"/>
              </w:rPr>
              <w:t>c</w:t>
            </w:r>
            <w:r>
              <w:rPr>
                <w:rFonts w:ascii="Times New Roman" w:cs="Times New Roman"/>
                <w:kern w:val="2"/>
                <w:sz w:val="18"/>
                <w:szCs w:val="18"/>
              </w:rPr>
              <w:t>/70，且≥10mm</w:t>
            </w:r>
          </w:p>
        </w:tc>
        <w:tc>
          <w:tcPr>
            <w:tcW w:w="2187"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t≥</w:t>
            </w:r>
            <w:r>
              <w:rPr>
                <w:rFonts w:ascii="Times New Roman" w:cs="Times New Roman"/>
                <w:i/>
                <w:iCs/>
                <w:kern w:val="2"/>
                <w:sz w:val="18"/>
                <w:szCs w:val="18"/>
              </w:rPr>
              <w:t>B</w:t>
            </w:r>
            <w:r>
              <w:rPr>
                <w:rFonts w:ascii="Times New Roman" w:cs="Times New Roman"/>
                <w:kern w:val="2"/>
                <w:sz w:val="18"/>
                <w:szCs w:val="18"/>
                <w:vertAlign w:val="subscript"/>
              </w:rPr>
              <w:t>c</w:t>
            </w:r>
            <w:r>
              <w:rPr>
                <w:rFonts w:ascii="Times New Roman" w:cs="Times New Roman"/>
                <w:kern w:val="2"/>
                <w:sz w:val="18"/>
                <w:szCs w:val="18"/>
              </w:rPr>
              <w:t>/110，且≥10mm</w:t>
            </w:r>
          </w:p>
        </w:tc>
        <w:tc>
          <w:tcPr>
            <w:tcW w:w="2050" w:type="dxa"/>
            <w:vAlign w:val="center"/>
          </w:tcPr>
          <w:p>
            <w:pPr>
              <w:pStyle w:val="32"/>
              <w:spacing w:before="0"/>
              <w:ind w:left="0" w:firstLine="0" w:firstLineChars="0"/>
              <w:rPr>
                <w:rFonts w:ascii="Times New Roman" w:cs="Times New Roman"/>
                <w:kern w:val="2"/>
                <w:sz w:val="18"/>
                <w:szCs w:val="18"/>
              </w:rPr>
            </w:pPr>
            <w:r>
              <w:rPr>
                <w:rFonts w:ascii="Times New Roman" w:cs="Times New Roman"/>
                <w:kern w:val="2"/>
                <w:sz w:val="18"/>
                <w:szCs w:val="18"/>
              </w:rPr>
              <w:t>t≥</w:t>
            </w:r>
            <w:r>
              <w:rPr>
                <w:rFonts w:ascii="Times New Roman" w:cs="Times New Roman"/>
                <w:i/>
                <w:iCs/>
                <w:kern w:val="2"/>
                <w:sz w:val="18"/>
                <w:szCs w:val="18"/>
              </w:rPr>
              <w:t>B</w:t>
            </w:r>
            <w:r>
              <w:rPr>
                <w:rFonts w:ascii="Times New Roman" w:cs="Times New Roman"/>
                <w:kern w:val="2"/>
                <w:sz w:val="18"/>
                <w:szCs w:val="18"/>
                <w:vertAlign w:val="subscript"/>
              </w:rPr>
              <w:t>c</w:t>
            </w:r>
            <w:r>
              <w:rPr>
                <w:rFonts w:ascii="Times New Roman" w:cs="Times New Roman"/>
                <w:kern w:val="2"/>
                <w:sz w:val="18"/>
                <w:szCs w:val="18"/>
              </w:rPr>
              <w:t>/130，且≥8mm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650" w:type="dxa"/>
            <w:gridSpan w:val="4"/>
            <w:vAlign w:val="center"/>
          </w:tcPr>
          <w:p>
            <w:pPr>
              <w:pStyle w:val="32"/>
              <w:spacing w:before="0"/>
              <w:ind w:left="0" w:firstLine="0" w:firstLineChars="0"/>
              <w:jc w:val="left"/>
              <w:rPr>
                <w:rFonts w:ascii="Times New Roman" w:cs="Times New Roman"/>
                <w:kern w:val="2"/>
                <w:sz w:val="18"/>
                <w:szCs w:val="18"/>
              </w:rPr>
            </w:pPr>
            <w:r>
              <w:rPr>
                <w:rFonts w:ascii="Times New Roman" w:cs="Times New Roman"/>
                <w:sz w:val="18"/>
                <w:szCs w:val="18"/>
              </w:rPr>
              <w:t>注：1</w:t>
            </w:r>
            <w:r>
              <w:rPr>
                <w:rFonts w:ascii="Times New Roman" w:cs="Times New Roman"/>
                <w:color w:val="000000"/>
                <w:sz w:val="18"/>
                <w:szCs w:val="18"/>
              </w:rPr>
              <w:t>、</w:t>
            </w:r>
            <w:r>
              <w:rPr>
                <w:rFonts w:ascii="Times New Roman" w:cs="Times New Roman"/>
                <w:i/>
                <w:iCs/>
                <w:kern w:val="2"/>
                <w:sz w:val="18"/>
                <w:szCs w:val="18"/>
              </w:rPr>
              <w:t>B</w:t>
            </w:r>
            <w:r>
              <w:rPr>
                <w:rFonts w:ascii="Times New Roman" w:cs="Times New Roman"/>
                <w:kern w:val="2"/>
                <w:sz w:val="18"/>
                <w:szCs w:val="18"/>
                <w:vertAlign w:val="subscript"/>
              </w:rPr>
              <w:t>c</w:t>
            </w:r>
            <w:r>
              <w:rPr>
                <w:rFonts w:ascii="Times New Roman" w:cs="Times New Roman"/>
                <w:kern w:val="2"/>
                <w:sz w:val="18"/>
                <w:szCs w:val="18"/>
              </w:rPr>
              <w:t>为柱截面宽度。</w:t>
            </w:r>
          </w:p>
        </w:tc>
      </w:tr>
    </w:tbl>
    <w:p>
      <w:pPr>
        <w:pStyle w:val="5"/>
      </w:pPr>
      <w:r>
        <w:rPr>
          <w:rFonts w:hint="eastAsia"/>
        </w:rPr>
        <w:t>框架柱内在钢梁上下翼缘处应设置水平加劲板，其厚度与钢梁上下翼缘板等厚，其钢材强度不得低于钢梁翼缘的钢材强度；悬臂梁段腹板宜伸入外包钢板</w:t>
      </w:r>
      <w:r>
        <w:rPr>
          <w:i/>
          <w:iCs/>
        </w:rPr>
        <w:t>l</w:t>
      </w:r>
      <w:r>
        <w:rPr>
          <w:rFonts w:hint="eastAsia"/>
        </w:rPr>
        <w:t>≥50mm，其厚度与钢梁腹板等厚，其钢材强度不得低于钢梁腹板的钢材强度。</w:t>
      </w:r>
    </w:p>
    <w:p>
      <w:pPr>
        <w:pStyle w:val="5"/>
      </w:pPr>
      <w:r>
        <w:rPr>
          <w:rFonts w:hint="eastAsia"/>
        </w:rPr>
        <w:t>上下水平加劲板居中开设浇筑孔，浇筑孔直径宜采用200mm；对应钢筋混凝土柱纵向钢筋位置开设对应大小的钢筋孔，钢筋孔</w:t>
      </w:r>
      <w:r>
        <w:rPr>
          <w:rFonts w:hint="eastAsia"/>
          <w:i/>
          <w:iCs/>
        </w:rPr>
        <w:t>d</w:t>
      </w:r>
      <w:r>
        <w:rPr>
          <w:rFonts w:hint="eastAsia"/>
        </w:rPr>
        <w:t>直径为钢筋直径+10mm；不得在现场进行气割扩孔，避免造成应力集中。</w:t>
      </w:r>
    </w:p>
    <w:p>
      <w:pPr>
        <w:pStyle w:val="5"/>
      </w:pPr>
      <w:r>
        <w:rPr>
          <w:rFonts w:hint="eastAsia"/>
        </w:rPr>
        <w:t>悬臂梁段上下翼缘宜采用能将塑性铰自梁端外移的端部扩大形连接尺寸。</w:t>
      </w:r>
    </w:p>
    <w:p>
      <w:pPr>
        <w:pStyle w:val="5"/>
      </w:pPr>
      <w:r>
        <w:rPr>
          <w:rFonts w:hint="eastAsia"/>
        </w:rPr>
        <w:t>水平加劲板与外包钢板之间、悬臂梁段与外包钢板之间均采用全熔透坡口焊缝连接；外包钢板之间、悬臂梁段腹板翼缘之间采用双面贴角焊缝。</w:t>
      </w:r>
    </w:p>
    <w:p>
      <w:pPr>
        <w:pStyle w:val="5"/>
      </w:pPr>
      <w:r>
        <w:rPr>
          <w:rFonts w:hint="eastAsia"/>
        </w:rPr>
        <w:t>节点连接件以外上下间距50mm开始设置钢筋混凝土柱箍筋。</w:t>
      </w:r>
    </w:p>
    <w:p>
      <w:pPr>
        <w:pStyle w:val="5"/>
      </w:pPr>
      <w:r>
        <w:rPr>
          <w:rFonts w:hint="eastAsia"/>
        </w:rPr>
        <w:t>节点四周钢梁不等高时，钢梁上翼缘宜按相同标高设计，节点悬臂梁段上翼缘、上水平加劲肋与钢梁上翼缘顶标高平齐，节点下水平加劲肋底标高与最大梁高钢梁下翼缘平齐，节点悬臂梁段按照坡度小于等于1:3进行放坡过渡（图</w:t>
      </w:r>
      <w:r>
        <w:t>1</w:t>
      </w:r>
      <w:r>
        <w:rPr>
          <w:rFonts w:hint="eastAsia"/>
        </w:rPr>
        <w:t>0）。</w:t>
      </w:r>
    </w:p>
    <w:p>
      <w:pPr>
        <w:pStyle w:val="32"/>
        <w:ind w:left="0" w:firstLine="630" w:firstLineChars="300"/>
      </w:pPr>
      <w:r>
        <w:drawing>
          <wp:inline distT="0" distB="0" distL="114300" distR="114300">
            <wp:extent cx="4990465" cy="3505835"/>
            <wp:effectExtent l="0" t="0" r="635" b="18415"/>
            <wp:docPr id="118" name="图片 1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true"/>
                    </pic:cNvPicPr>
                  </pic:nvPicPr>
                  <pic:blipFill>
                    <a:blip r:embed="rId43"/>
                    <a:stretch>
                      <a:fillRect/>
                    </a:stretch>
                  </pic:blipFill>
                  <pic:spPr>
                    <a:xfrm>
                      <a:off x="0" y="0"/>
                      <a:ext cx="4990465" cy="3505835"/>
                    </a:xfrm>
                    <a:prstGeom prst="rect">
                      <a:avLst/>
                    </a:prstGeom>
                  </pic:spPr>
                </pic:pic>
              </a:graphicData>
            </a:graphic>
          </wp:inline>
        </w:drawing>
      </w:r>
    </w:p>
    <w:p>
      <w:pPr>
        <w:pStyle w:val="32"/>
        <w:spacing w:before="0" w:line="400" w:lineRule="exact"/>
        <w:ind w:left="119"/>
        <w:rPr>
          <w:rFonts w:ascii="黑体" w:hAnsi="黑体" w:eastAsia="黑体"/>
        </w:rPr>
      </w:pPr>
      <w:r>
        <w:rPr>
          <w:rFonts w:hint="eastAsia" w:ascii="黑体" w:hAnsi="黑体" w:eastAsia="黑体"/>
        </w:rPr>
        <w:t>图</w:t>
      </w:r>
      <w:r>
        <w:rPr>
          <w:rFonts w:ascii="黑体" w:hAnsi="黑体" w:eastAsia="黑体" w:cs="Times New Roman"/>
        </w:rPr>
        <w:t>1</w:t>
      </w:r>
      <w:r>
        <w:rPr>
          <w:rFonts w:hint="eastAsia" w:ascii="黑体" w:hAnsi="黑体" w:eastAsia="黑体" w:cs="Times New Roman"/>
        </w:rPr>
        <w:t>0</w:t>
      </w:r>
      <w:r>
        <w:rPr>
          <w:rFonts w:hint="eastAsia" w:ascii="黑体" w:hAnsi="黑体" w:eastAsia="黑体" w:cs="黑体"/>
        </w:rPr>
        <w:t>　</w:t>
      </w:r>
      <w:r>
        <w:rPr>
          <w:rFonts w:hint="eastAsia" w:ascii="黑体" w:hAnsi="黑体" w:eastAsia="黑体"/>
        </w:rPr>
        <w:t>钢梁-钢筋混凝土柱连接构造示意图</w:t>
      </w:r>
    </w:p>
    <w:p>
      <w:pPr>
        <w:ind w:firstLine="0" w:firstLineChars="0"/>
        <w:jc w:val="center"/>
        <w:rPr>
          <w:rFonts w:cs="Times New Roman"/>
          <w:kern w:val="0"/>
          <w:szCs w:val="21"/>
          <w:lang w:bidi="ar"/>
        </w:rPr>
      </w:pPr>
      <w:r>
        <w:rPr>
          <w:rFonts w:cs="Times New Roman"/>
          <w:kern w:val="0"/>
          <w:szCs w:val="21"/>
          <w:lang w:bidi="ar"/>
        </w:rPr>
        <w:t>1—外包钢板；2—悬臂梁段上翼缘；3—水平加劲；4—悬臂梁段腹板伸入外包钢板；</w:t>
      </w:r>
    </w:p>
    <w:p>
      <w:pPr>
        <w:pStyle w:val="75"/>
        <w:ind w:left="360" w:firstLine="420"/>
        <w:jc w:val="center"/>
        <w:rPr>
          <w:kern w:val="0"/>
          <w:szCs w:val="21"/>
          <w:lang w:bidi="ar"/>
        </w:rPr>
      </w:pPr>
      <w:r>
        <w:t>7</w:t>
      </w:r>
      <w:r>
        <w:rPr>
          <w:kern w:val="0"/>
          <w:szCs w:val="21"/>
          <w:lang w:bidi="ar"/>
        </w:rPr>
        <w:t>—</w:t>
      </w:r>
      <w:r>
        <w:t>悬臂梁段下翼缘；8</w:t>
      </w:r>
      <w:r>
        <w:rPr>
          <w:kern w:val="0"/>
          <w:szCs w:val="21"/>
          <w:lang w:bidi="ar"/>
        </w:rPr>
        <w:t>—</w:t>
      </w:r>
      <w:r>
        <w:t>柱纵向钢筋；9</w:t>
      </w:r>
      <w:r>
        <w:rPr>
          <w:kern w:val="0"/>
          <w:szCs w:val="21"/>
          <w:lang w:bidi="ar"/>
        </w:rPr>
        <w:t>—</w:t>
      </w:r>
      <w:r>
        <w:t>柱箍筋</w:t>
      </w:r>
    </w:p>
    <w:p>
      <w:pPr>
        <w:pStyle w:val="3"/>
        <w:spacing w:before="120" w:after="120"/>
      </w:pPr>
      <w:bookmarkStart w:id="115" w:name="_Toc186641487"/>
      <w:bookmarkStart w:id="116" w:name="_Toc182836620"/>
      <w:bookmarkStart w:id="117" w:name="_Toc8927"/>
      <w:r>
        <w:rPr>
          <w:rFonts w:hint="eastAsia"/>
        </w:rPr>
        <w:t>节点承载力</w:t>
      </w:r>
      <w:bookmarkEnd w:id="115"/>
      <w:bookmarkEnd w:id="116"/>
    </w:p>
    <w:p>
      <w:pPr>
        <w:pStyle w:val="4"/>
        <w:ind w:right="210"/>
      </w:pPr>
      <w:r>
        <w:rPr>
          <w:rStyle w:val="94"/>
          <w:rFonts w:hint="eastAsia"/>
          <w:bCs/>
        </w:rPr>
        <w:t>一、</w:t>
      </w:r>
      <w:r>
        <w:rPr>
          <w:rFonts w:hint="eastAsia"/>
        </w:rPr>
        <w:t>二、三级抗震等级的混合框架应进行节点核心区抗震受剪承载力验算；四级抗震等级的混合框架节点可不进行计算，但应符合抗震构造措施的要求。框支柱中间层节点的抗震受剪承载力验算方法及抗震构造措施与混合框架中间层节</w:t>
      </w:r>
      <w:r>
        <w:rPr>
          <w:rStyle w:val="94"/>
          <w:rFonts w:hint="eastAsia"/>
          <w:bCs/>
        </w:rPr>
        <w:t>点相同</w:t>
      </w:r>
      <w:r>
        <w:rPr>
          <w:rFonts w:hint="eastAsia"/>
        </w:rPr>
        <w:t>。</w:t>
      </w:r>
    </w:p>
    <w:p>
      <w:pPr>
        <w:pStyle w:val="4"/>
        <w:ind w:right="210"/>
      </w:pPr>
      <w:r>
        <w:rPr>
          <w:rFonts w:hint="eastAsia"/>
        </w:rPr>
        <w:t>一、二、三级抗震等级的混合框架梁柱节点核心区的剪力设计值</w:t>
      </w:r>
      <w:r>
        <w:rPr>
          <w:rFonts w:hint="eastAsia"/>
          <w:i/>
        </w:rPr>
        <w:t>V</w:t>
      </w:r>
      <w:r>
        <w:rPr>
          <w:rFonts w:hint="eastAsia"/>
          <w:vertAlign w:val="subscript"/>
        </w:rPr>
        <w:t>j</w:t>
      </w:r>
      <w:r>
        <w:rPr>
          <w:rFonts w:hint="eastAsia"/>
        </w:rPr>
        <w:t>，应按公式</w:t>
      </w:r>
      <w:r>
        <w:rPr>
          <w:rFonts w:hint="eastAsia"/>
          <w:lang w:val="zh-CN"/>
        </w:rPr>
        <w:t>（</w:t>
      </w:r>
      <w:r>
        <w:rPr>
          <w:lang w:val="zh-CN"/>
        </w:rPr>
        <w:t>8</w:t>
      </w:r>
      <w:r>
        <w:rPr>
          <w:rFonts w:hint="eastAsia"/>
          <w:lang w:val="zh-CN"/>
        </w:rPr>
        <w:t>）-（</w:t>
      </w:r>
      <w:r>
        <w:rPr>
          <w:lang w:val="zh-CN"/>
        </w:rPr>
        <w:t>9</w:t>
      </w:r>
      <w:r>
        <w:rPr>
          <w:rFonts w:hint="eastAsia"/>
          <w:lang w:val="zh-CN"/>
        </w:rPr>
        <w:t>）</w:t>
      </w:r>
      <w:r>
        <w:rPr>
          <w:rFonts w:hint="eastAsia"/>
        </w:rPr>
        <w:t>计算：</w:t>
      </w:r>
    </w:p>
    <w:p>
      <w:pPr>
        <w:numPr>
          <w:ilvl w:val="0"/>
          <w:numId w:val="24"/>
        </w:numPr>
        <w:ind w:left="0" w:firstLine="420"/>
        <w:rPr>
          <w:lang w:val="zh-CN"/>
        </w:rPr>
      </w:pPr>
      <w:r>
        <w:rPr>
          <w:rFonts w:hint="eastAsia"/>
          <w:lang w:val="zh-CN"/>
        </w:rPr>
        <w:t>顶层中间节点和端节点</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pStyle w:val="75"/>
              <w:spacing w:line="240" w:lineRule="auto"/>
              <w:jc w:val="center"/>
              <w:rPr>
                <w:kern w:val="0"/>
                <w:sz w:val="20"/>
              </w:rPr>
            </w:pPr>
            <w:r>
              <w:rPr>
                <w:kern w:val="0"/>
                <w:position w:val="-32"/>
                <w:sz w:val="20"/>
              </w:rPr>
              <w:object>
                <v:shape id="_x0000_i1033" o:spt="75" type="#_x0000_t75" style="height:37.55pt;width:73.9pt;" o:ole="t" filled="f" o:preferrelative="t" stroked="f" coordsize="21600,21600">
                  <v:path/>
                  <v:fill on="f" focussize="0,0"/>
                  <v:stroke on="f" joinstyle="miter"/>
                  <v:imagedata r:id="rId45" o:title=""/>
                  <o:lock v:ext="edit" aspectratio="t"/>
                  <w10:wrap type="none"/>
                  <w10:anchorlock/>
                </v:shape>
                <o:OLEObject Type="Embed" ProgID="Equation.DSMT4" ShapeID="_x0000_i1033" DrawAspect="Content" ObjectID="_1468075733" r:id="rId44">
                  <o:LockedField>false</o:LockedField>
                </o:OLEObject>
              </w:object>
            </w:r>
          </w:p>
        </w:tc>
        <w:tc>
          <w:tcPr>
            <w:tcW w:w="1302" w:type="dxa"/>
            <w:vAlign w:val="center"/>
          </w:tcPr>
          <w:p>
            <w:pPr>
              <w:pStyle w:val="75"/>
              <w:spacing w:line="240" w:lineRule="auto"/>
              <w:jc w:val="center"/>
              <w:rPr>
                <w:kern w:val="0"/>
                <w:sz w:val="20"/>
              </w:rPr>
            </w:pPr>
            <w:r>
              <w:rPr>
                <w:rFonts w:hint="eastAsia"/>
                <w:kern w:val="0"/>
                <w:sz w:val="20"/>
              </w:rPr>
              <w:t>（</w:t>
            </w:r>
            <w:r>
              <w:rPr>
                <w:kern w:val="0"/>
                <w:sz w:val="20"/>
              </w:rPr>
              <w:t>8</w:t>
            </w:r>
            <w:r>
              <w:rPr>
                <w:rFonts w:hint="eastAsia"/>
                <w:kern w:val="0"/>
                <w:sz w:val="20"/>
              </w:rPr>
              <w:t>）</w:t>
            </w:r>
          </w:p>
        </w:tc>
      </w:tr>
    </w:tbl>
    <w:p>
      <w:pPr>
        <w:numPr>
          <w:ilvl w:val="0"/>
          <w:numId w:val="24"/>
        </w:numPr>
        <w:ind w:left="0" w:firstLine="420"/>
        <w:rPr>
          <w:lang w:val="zh-CN"/>
        </w:rPr>
      </w:pPr>
      <w:r>
        <w:rPr>
          <w:rFonts w:hint="eastAsia"/>
          <w:lang w:val="zh-CN"/>
        </w:rPr>
        <w:t>其他层中间节点和端节点</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269" w:type="dxa"/>
            <w:vAlign w:val="center"/>
          </w:tcPr>
          <w:p>
            <w:pPr>
              <w:ind w:left="1600" w:hanging="1600" w:hangingChars="800"/>
              <w:jc w:val="center"/>
              <w:rPr>
                <w:rFonts w:cs="Times New Roman"/>
                <w:kern w:val="0"/>
                <w:sz w:val="20"/>
                <w:szCs w:val="20"/>
              </w:rPr>
            </w:pPr>
            <w:r>
              <w:rPr>
                <w:rFonts w:cs="Times New Roman"/>
                <w:kern w:val="0"/>
                <w:position w:val="-34"/>
                <w:sz w:val="20"/>
                <w:szCs w:val="20"/>
              </w:rPr>
              <w:object>
                <v:shape id="_x0000_i1034" o:spt="75" type="#_x0000_t75" style="height:42.55pt;width:138.35pt;" o:ole="t" filled="f" o:preferrelative="t" stroked="f" coordsize="21600,21600">
                  <v:path/>
                  <v:fill on="f" focussize="0,0"/>
                  <v:stroke on="f" joinstyle="miter"/>
                  <v:imagedata r:id="rId47" o:title=""/>
                  <o:lock v:ext="edit" aspectratio="t"/>
                  <w10:wrap type="none"/>
                  <w10:anchorlock/>
                </v:shape>
                <o:OLEObject Type="Embed" ProgID="Equation.DSMT4" ShapeID="_x0000_i1034" DrawAspect="Content" ObjectID="_1468075734" r:id="rId46">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9</w:t>
            </w:r>
            <w:r>
              <w:rPr>
                <w:rFonts w:hint="eastAsia" w:cs="Times New Roman"/>
                <w:kern w:val="0"/>
                <w:sz w:val="20"/>
                <w:szCs w:val="20"/>
              </w:rPr>
              <w:t>）</w:t>
            </w:r>
          </w:p>
        </w:tc>
      </w:tr>
    </w:tbl>
    <w:p>
      <w:pPr>
        <w:ind w:left="1575" w:hanging="1575" w:hangingChars="750"/>
        <w:rPr>
          <w:rFonts w:cs="Times New Roman"/>
        </w:rPr>
      </w:pPr>
      <w:r>
        <w:rPr>
          <w:rFonts w:hint="eastAsia"/>
        </w:rPr>
        <w:t>式中：</w:t>
      </w:r>
      <w:r>
        <w:rPr>
          <w:rFonts w:cs="Times New Roman"/>
        </w:rPr>
        <w:t>∑</w:t>
      </w:r>
      <w:r>
        <w:rPr>
          <w:rFonts w:cs="Times New Roman"/>
          <w:i/>
        </w:rPr>
        <w:t>M</w:t>
      </w:r>
      <w:r>
        <w:rPr>
          <w:rFonts w:cs="Times New Roman"/>
          <w:vertAlign w:val="subscript"/>
        </w:rPr>
        <w:t>b</w:t>
      </w:r>
      <w:r>
        <w:rPr>
          <w:rFonts w:hint="eastAsia" w:cs="Times New Roman"/>
        </w:rPr>
        <w:t>——节点左、右两侧的梁端反时针或顺时针方向组合弯矩设计者之和，一级抗震等级框架节点左右梁端均为负弯矩时，绝对值较小的弯矩应取零；</w:t>
      </w:r>
    </w:p>
    <w:p>
      <w:pPr>
        <w:ind w:left="1470" w:leftChars="300" w:hanging="840" w:hangingChars="400"/>
        <w:rPr>
          <w:rFonts w:cs="Times New Roman"/>
        </w:rPr>
      </w:pPr>
      <w:r>
        <w:rPr>
          <w:rFonts w:cs="Times New Roman"/>
          <w:i/>
        </w:rPr>
        <w:t>η</w:t>
      </w:r>
      <w:r>
        <w:rPr>
          <w:rFonts w:cs="Times New Roman"/>
          <w:vertAlign w:val="subscript"/>
        </w:rPr>
        <w:t>jb</w:t>
      </w:r>
      <w:r>
        <w:rPr>
          <w:rFonts w:hint="eastAsia" w:cs="Times New Roman"/>
        </w:rPr>
        <w:t>——节点剪力增大系数，对于框架结构，一级取1</w:t>
      </w:r>
      <w:r>
        <w:rPr>
          <w:rFonts w:cs="Times New Roman"/>
        </w:rPr>
        <w:t>.50</w:t>
      </w:r>
      <w:r>
        <w:rPr>
          <w:rFonts w:hint="eastAsia" w:cs="Times New Roman"/>
        </w:rPr>
        <w:t>，二级取1</w:t>
      </w:r>
      <w:r>
        <w:rPr>
          <w:rFonts w:cs="Times New Roman"/>
        </w:rPr>
        <w:t>.35</w:t>
      </w:r>
      <w:r>
        <w:rPr>
          <w:rFonts w:hint="eastAsia" w:cs="Times New Roman"/>
        </w:rPr>
        <w:t>，三级取1</w:t>
      </w:r>
      <w:r>
        <w:rPr>
          <w:rFonts w:cs="Times New Roman"/>
        </w:rPr>
        <w:t>.20</w:t>
      </w:r>
      <w:r>
        <w:rPr>
          <w:rFonts w:hint="eastAsia" w:cs="Times New Roman"/>
        </w:rPr>
        <w:t>；对于其他结构中的框架，一级取1</w:t>
      </w:r>
      <w:r>
        <w:rPr>
          <w:rFonts w:cs="Times New Roman"/>
        </w:rPr>
        <w:t>.35</w:t>
      </w:r>
      <w:r>
        <w:rPr>
          <w:rFonts w:hint="eastAsia" w:cs="Times New Roman"/>
        </w:rPr>
        <w:t>，二级取1</w:t>
      </w:r>
      <w:r>
        <w:rPr>
          <w:rFonts w:cs="Times New Roman"/>
        </w:rPr>
        <w:t>.20</w:t>
      </w:r>
      <w:r>
        <w:rPr>
          <w:rFonts w:hint="eastAsia" w:cs="Times New Roman"/>
        </w:rPr>
        <w:t>，三级取1</w:t>
      </w:r>
      <w:r>
        <w:rPr>
          <w:rFonts w:cs="Times New Roman"/>
        </w:rPr>
        <w:t>.10</w:t>
      </w:r>
      <w:r>
        <w:rPr>
          <w:rFonts w:hint="eastAsia" w:cs="Times New Roman"/>
        </w:rPr>
        <w:t>；</w:t>
      </w:r>
    </w:p>
    <w:p>
      <w:pPr>
        <w:ind w:left="210" w:leftChars="100" w:firstLine="0" w:firstLineChars="0"/>
        <w:rPr>
          <w:rFonts w:cs="Times New Roman"/>
        </w:rPr>
      </w:pPr>
      <w:r>
        <w:rPr>
          <w:rFonts w:hint="eastAsia" w:cs="Times New Roman"/>
          <w:i/>
        </w:rPr>
        <w:t>h</w:t>
      </w:r>
      <w:r>
        <w:rPr>
          <w:rFonts w:cs="Times New Roman"/>
          <w:vertAlign w:val="subscript"/>
        </w:rPr>
        <w:t>b0</w:t>
      </w:r>
      <w:r>
        <w:rPr>
          <w:rFonts w:hint="eastAsia" w:cs="Times New Roman"/>
          <w:i/>
        </w:rPr>
        <w:t>、h</w:t>
      </w:r>
      <w:r>
        <w:rPr>
          <w:rFonts w:cs="Times New Roman"/>
          <w:vertAlign w:val="subscript"/>
        </w:rPr>
        <w:t>b</w:t>
      </w:r>
      <w:r>
        <w:rPr>
          <w:rFonts w:hint="eastAsia" w:cs="Times New Roman"/>
        </w:rPr>
        <w:t>——分别为梁的截面有效高度、截面高度，当节点两侧梁高不相同时，取其平均值；</w:t>
      </w:r>
    </w:p>
    <w:p>
      <w:pPr>
        <w:ind w:left="1050" w:leftChars="300" w:hanging="420" w:hangingChars="200"/>
        <w:rPr>
          <w:rFonts w:cs="Times New Roman"/>
        </w:rPr>
      </w:pPr>
      <w:r>
        <w:rPr>
          <w:rFonts w:hint="eastAsia" w:cs="Times New Roman"/>
          <w:i/>
        </w:rPr>
        <w:t>H</w:t>
      </w:r>
      <w:r>
        <w:rPr>
          <w:rFonts w:cs="Times New Roman"/>
          <w:vertAlign w:val="subscript"/>
        </w:rPr>
        <w:t>c</w:t>
      </w:r>
      <w:r>
        <w:rPr>
          <w:rFonts w:hint="eastAsia" w:cs="Times New Roman"/>
        </w:rPr>
        <w:t>——柱的计算高度，可采用节点上柱和下柱反弯点之间的距离；</w:t>
      </w:r>
    </w:p>
    <w:p>
      <w:pPr>
        <w:ind w:left="1050" w:leftChars="300" w:hanging="420" w:hangingChars="200"/>
        <w:rPr>
          <w:rFonts w:cs="Times New Roman"/>
        </w:rPr>
      </w:pPr>
      <w:r>
        <w:rPr>
          <w:rFonts w:cs="Times New Roman"/>
          <w:i/>
        </w:rPr>
        <w:t>a</w:t>
      </w:r>
      <w:r>
        <w:rPr>
          <w:rFonts w:hint="eastAsia" w:cs="Times New Roman"/>
          <w:vertAlign w:val="subscript"/>
        </w:rPr>
        <w:t>s</w:t>
      </w:r>
      <w:r>
        <w:rPr>
          <w:rFonts w:hint="eastAsia" w:cs="Times New Roman"/>
        </w:rPr>
        <w:t>'——梁纵向受压钢筋合力点至受压边缘的距离。</w:t>
      </w:r>
    </w:p>
    <w:p>
      <w:pPr>
        <w:pStyle w:val="4"/>
        <w:ind w:right="210"/>
      </w:pPr>
      <w:r>
        <w:rPr>
          <w:rFonts w:hint="eastAsia"/>
        </w:rPr>
        <w:t>混合框架梁柱节点核心区的受剪水平截面应符合公式</w:t>
      </w:r>
      <w:r>
        <w:rPr>
          <w:rFonts w:hint="eastAsia"/>
          <w:lang w:val="zh-CN"/>
        </w:rPr>
        <w:t>（</w:t>
      </w:r>
      <w:r>
        <w:rPr>
          <w:lang w:val="zh-CN"/>
        </w:rPr>
        <w:t>10</w:t>
      </w:r>
      <w:r>
        <w:rPr>
          <w:rFonts w:hint="eastAsia"/>
          <w:lang w:val="zh-CN"/>
        </w:rPr>
        <w:t>）</w:t>
      </w:r>
      <w:r>
        <w:rPr>
          <w:rFonts w:hint="eastAsia"/>
        </w:rPr>
        <w:t>条件：</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26"/>
                <w:sz w:val="20"/>
                <w:szCs w:val="20"/>
              </w:rPr>
              <w:object>
                <v:shape id="_x0000_i1035" o:spt="75" type="#_x0000_t75" style="height:32.55pt;width:125.85pt;" o:ole="t" filled="f" o:preferrelative="t" stroked="f" coordsize="21600,21600">
                  <v:path/>
                  <v:fill on="f" focussize="0,0"/>
                  <v:stroke on="f" joinstyle="miter"/>
                  <v:imagedata r:id="rId49" o:title=""/>
                  <o:lock v:ext="edit" aspectratio="t"/>
                  <w10:wrap type="none"/>
                  <w10:anchorlock/>
                </v:shape>
                <o:OLEObject Type="Embed" ProgID="Equation.DSMT4" ShapeID="_x0000_i1035" DrawAspect="Content" ObjectID="_1468075735" r:id="rId48">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10</w:t>
            </w:r>
            <w:r>
              <w:rPr>
                <w:rFonts w:hint="eastAsia" w:cs="Times New Roman"/>
                <w:kern w:val="0"/>
                <w:sz w:val="20"/>
                <w:szCs w:val="20"/>
              </w:rPr>
              <w:t>）</w:t>
            </w:r>
          </w:p>
        </w:tc>
      </w:tr>
    </w:tbl>
    <w:p>
      <w:pPr>
        <w:ind w:firstLine="0" w:firstLineChars="0"/>
      </w:pPr>
      <w:r>
        <w:rPr>
          <w:rFonts w:hint="eastAsia"/>
        </w:rPr>
        <w:t>式中：</w:t>
      </w:r>
      <w:r>
        <w:rPr>
          <w:i/>
        </w:rPr>
        <w:t>h</w:t>
      </w:r>
      <w:r>
        <w:rPr>
          <w:vertAlign w:val="subscript"/>
        </w:rPr>
        <w:t>j</w:t>
      </w:r>
      <w:r>
        <w:rPr>
          <w:rFonts w:hint="eastAsia"/>
          <w:vertAlign w:val="subscript"/>
        </w:rPr>
        <w:t>c</w:t>
      </w:r>
      <w:r>
        <w:rPr>
          <w:rFonts w:hint="eastAsia"/>
        </w:rPr>
        <w:t>——混合框架节点核心区混凝土部分的截面高度，可取验算方向的柱内填混凝土截面高度</w:t>
      </w:r>
      <w:r>
        <w:rPr>
          <w:rFonts w:hint="eastAsia"/>
          <w:i/>
        </w:rPr>
        <w:t>h</w:t>
      </w:r>
      <w:r>
        <w:rPr>
          <w:rFonts w:hint="eastAsia"/>
          <w:vertAlign w:val="subscript"/>
        </w:rPr>
        <w:t>cc</w:t>
      </w:r>
      <w:r>
        <w:rPr>
          <w:rFonts w:hint="eastAsia"/>
        </w:rPr>
        <w:t>；</w:t>
      </w:r>
    </w:p>
    <w:p>
      <w:pPr>
        <w:ind w:left="1260" w:leftChars="300" w:hanging="630" w:hangingChars="300"/>
      </w:pPr>
      <w:r>
        <w:rPr>
          <w:rFonts w:hint="eastAsia"/>
          <w:i/>
        </w:rPr>
        <w:t>b</w:t>
      </w:r>
      <w:r>
        <w:rPr>
          <w:vertAlign w:val="subscript"/>
        </w:rPr>
        <w:t>j</w:t>
      </w:r>
      <w:r>
        <w:rPr>
          <w:rFonts w:hint="eastAsia"/>
          <w:vertAlign w:val="subscript"/>
        </w:rPr>
        <w:t>c</w:t>
      </w:r>
      <w:r>
        <w:rPr>
          <w:rFonts w:hint="eastAsia"/>
        </w:rPr>
        <w:t>——混合框架节点核心区混凝土部分的截面有效验算宽度，当梁宽</w:t>
      </w:r>
      <w:r>
        <w:rPr>
          <w:rFonts w:hint="eastAsia"/>
          <w:i/>
        </w:rPr>
        <w:t>b</w:t>
      </w:r>
      <w:r>
        <w:rPr>
          <w:vertAlign w:val="subscript"/>
        </w:rPr>
        <w:t>b</w:t>
      </w:r>
      <w:r>
        <w:rPr>
          <w:rFonts w:hint="eastAsia"/>
        </w:rPr>
        <w:t>不小于</w:t>
      </w:r>
      <w:r>
        <w:rPr>
          <w:rFonts w:hint="eastAsia"/>
          <w:i/>
        </w:rPr>
        <w:t>b</w:t>
      </w:r>
      <w:r>
        <w:rPr>
          <w:rFonts w:hint="eastAsia"/>
          <w:vertAlign w:val="subscript"/>
        </w:rPr>
        <w:t>c</w:t>
      </w:r>
      <w:r>
        <w:rPr>
          <w:rFonts w:hint="eastAsia"/>
        </w:rPr>
        <w:t>一半时，可取内填混凝土宽度</w:t>
      </w:r>
      <w:r>
        <w:rPr>
          <w:rFonts w:hint="eastAsia"/>
          <w:i/>
        </w:rPr>
        <w:t>b</w:t>
      </w:r>
      <w:r>
        <w:rPr>
          <w:vertAlign w:val="subscript"/>
        </w:rPr>
        <w:t>cc</w:t>
      </w:r>
      <w:r>
        <w:rPr>
          <w:rFonts w:hint="eastAsia"/>
        </w:rPr>
        <w:t>；当</w:t>
      </w:r>
      <w:r>
        <w:rPr>
          <w:rFonts w:hint="eastAsia"/>
          <w:i/>
        </w:rPr>
        <w:t>b</w:t>
      </w:r>
      <w:r>
        <w:rPr>
          <w:rFonts w:hint="eastAsia"/>
          <w:vertAlign w:val="subscript"/>
        </w:rPr>
        <w:t>b</w:t>
      </w:r>
      <w:r>
        <w:rPr>
          <w:rFonts w:hint="eastAsia"/>
        </w:rPr>
        <w:t>小于</w:t>
      </w:r>
      <w:r>
        <w:rPr>
          <w:rFonts w:hint="eastAsia"/>
          <w:i/>
        </w:rPr>
        <w:t>b</w:t>
      </w:r>
      <w:r>
        <w:rPr>
          <w:rFonts w:hint="eastAsia"/>
          <w:vertAlign w:val="subscript"/>
        </w:rPr>
        <w:t>c</w:t>
      </w:r>
      <w:r>
        <w:t>/2</w:t>
      </w:r>
      <w:r>
        <w:rPr>
          <w:rFonts w:hint="eastAsia"/>
        </w:rPr>
        <w:t>时，可取（</w:t>
      </w:r>
      <w:r>
        <w:rPr>
          <w:rFonts w:hint="eastAsia"/>
          <w:i/>
        </w:rPr>
        <w:t>b</w:t>
      </w:r>
      <w:r>
        <w:rPr>
          <w:rFonts w:hint="eastAsia"/>
          <w:vertAlign w:val="subscript"/>
        </w:rPr>
        <w:t>b</w:t>
      </w:r>
      <w:r>
        <w:t>+0.5</w:t>
      </w:r>
      <w:r>
        <w:rPr>
          <w:i/>
        </w:rPr>
        <w:t>h</w:t>
      </w:r>
      <w:r>
        <w:rPr>
          <w:vertAlign w:val="subscript"/>
        </w:rPr>
        <w:t>c</w:t>
      </w:r>
      <w:r>
        <w:rPr>
          <w:rFonts w:hint="eastAsia"/>
          <w:vertAlign w:val="subscript"/>
        </w:rPr>
        <w:t>c</w:t>
      </w:r>
      <w:r>
        <w:rPr>
          <w:rFonts w:hint="eastAsia"/>
        </w:rPr>
        <w:t>）和</w:t>
      </w:r>
      <w:r>
        <w:rPr>
          <w:rFonts w:hint="eastAsia"/>
          <w:i/>
        </w:rPr>
        <w:t>b</w:t>
      </w:r>
      <w:r>
        <w:rPr>
          <w:rFonts w:hint="eastAsia"/>
          <w:vertAlign w:val="subscript"/>
        </w:rPr>
        <w:t>c</w:t>
      </w:r>
      <w:r>
        <w:rPr>
          <w:vertAlign w:val="subscript"/>
        </w:rPr>
        <w:t>c</w:t>
      </w:r>
      <w:r>
        <w:rPr>
          <w:rFonts w:hint="eastAsia"/>
        </w:rPr>
        <w:t>中的较小值；当梁柱中线不重合且偏心距</w:t>
      </w:r>
      <w:r>
        <w:rPr>
          <w:rFonts w:hint="eastAsia"/>
          <w:i/>
        </w:rPr>
        <w:t>e</w:t>
      </w:r>
      <w:r>
        <w:rPr>
          <w:vertAlign w:val="subscript"/>
        </w:rPr>
        <w:t>0</w:t>
      </w:r>
      <w:r>
        <w:rPr>
          <w:rFonts w:hint="eastAsia"/>
        </w:rPr>
        <w:t>不大于</w:t>
      </w:r>
      <w:r>
        <w:rPr>
          <w:rFonts w:hint="eastAsia"/>
          <w:i/>
        </w:rPr>
        <w:t>b</w:t>
      </w:r>
      <w:r>
        <w:rPr>
          <w:rFonts w:hint="eastAsia"/>
          <w:vertAlign w:val="subscript"/>
        </w:rPr>
        <w:t>c</w:t>
      </w:r>
      <w:r>
        <w:t>/4</w:t>
      </w:r>
      <w:r>
        <w:rPr>
          <w:rFonts w:hint="eastAsia"/>
        </w:rPr>
        <w:t>时，可取（</w:t>
      </w:r>
      <w:r>
        <w:rPr>
          <w:rFonts w:hint="eastAsia"/>
          <w:i/>
        </w:rPr>
        <w:t>b</w:t>
      </w:r>
      <w:r>
        <w:rPr>
          <w:vertAlign w:val="subscript"/>
        </w:rPr>
        <w:t>b</w:t>
      </w:r>
      <w:r>
        <w:t>+0.5</w:t>
      </w:r>
      <w:r>
        <w:rPr>
          <w:i/>
        </w:rPr>
        <w:t>h</w:t>
      </w:r>
      <w:r>
        <w:rPr>
          <w:vertAlign w:val="subscript"/>
        </w:rPr>
        <w:t>cc</w:t>
      </w:r>
      <w:r>
        <w:rPr>
          <w:rFonts w:hint="eastAsia"/>
        </w:rPr>
        <w:t>）、（0</w:t>
      </w:r>
      <w:r>
        <w:t>.5</w:t>
      </w:r>
      <w:r>
        <w:rPr>
          <w:i/>
        </w:rPr>
        <w:t>b</w:t>
      </w:r>
      <w:r>
        <w:rPr>
          <w:vertAlign w:val="subscript"/>
        </w:rPr>
        <w:t>b</w:t>
      </w:r>
      <w:r>
        <w:t>+0.5b</w:t>
      </w:r>
      <w:r>
        <w:rPr>
          <w:vertAlign w:val="subscript"/>
        </w:rPr>
        <w:t>cc</w:t>
      </w:r>
      <w:r>
        <w:t>+0.25</w:t>
      </w:r>
      <w:r>
        <w:rPr>
          <w:i/>
        </w:rPr>
        <w:t>h</w:t>
      </w:r>
      <w:r>
        <w:rPr>
          <w:vertAlign w:val="subscript"/>
        </w:rPr>
        <w:t>cc</w:t>
      </w:r>
      <w:r>
        <w:t>-</w:t>
      </w:r>
      <w:r>
        <w:rPr>
          <w:i/>
        </w:rPr>
        <w:t>e</w:t>
      </w:r>
      <w:r>
        <w:rPr>
          <w:vertAlign w:val="subscript"/>
        </w:rPr>
        <w:t>0</w:t>
      </w:r>
      <w:r>
        <w:rPr>
          <w:rFonts w:hint="eastAsia"/>
        </w:rPr>
        <w:t>）和</w:t>
      </w:r>
      <w:r>
        <w:rPr>
          <w:rFonts w:hint="eastAsia"/>
          <w:i/>
        </w:rPr>
        <w:t>b</w:t>
      </w:r>
      <w:r>
        <w:rPr>
          <w:vertAlign w:val="subscript"/>
        </w:rPr>
        <w:t>cc</w:t>
      </w:r>
      <w:r>
        <w:rPr>
          <w:rFonts w:hint="eastAsia"/>
        </w:rPr>
        <w:t>三者中的较小值。此处，</w:t>
      </w:r>
      <w:r>
        <w:rPr>
          <w:rFonts w:hint="eastAsia"/>
          <w:i/>
        </w:rPr>
        <w:t>b</w:t>
      </w:r>
      <w:r>
        <w:rPr>
          <w:vertAlign w:val="subscript"/>
        </w:rPr>
        <w:t>b</w:t>
      </w:r>
      <w:r>
        <w:rPr>
          <w:rFonts w:hint="eastAsia"/>
        </w:rPr>
        <w:t>为验算方向梁截面宽度，</w:t>
      </w:r>
      <w:r>
        <w:rPr>
          <w:rFonts w:hint="eastAsia"/>
          <w:i/>
        </w:rPr>
        <w:t>b</w:t>
      </w:r>
      <w:r>
        <w:rPr>
          <w:rFonts w:hint="eastAsia"/>
          <w:vertAlign w:val="subscript"/>
        </w:rPr>
        <w:t>c</w:t>
      </w:r>
      <w:r>
        <w:rPr>
          <w:rFonts w:hint="eastAsia"/>
        </w:rPr>
        <w:t>为该侧柱截面宽度；</w:t>
      </w:r>
    </w:p>
    <w:p>
      <w:pPr>
        <w:ind w:left="1260" w:leftChars="300" w:hanging="630" w:hangingChars="300"/>
      </w:pPr>
      <w:r>
        <w:rPr>
          <w:rFonts w:cs="Times New Roman"/>
          <w:i/>
        </w:rPr>
        <w:t>η</w:t>
      </w:r>
      <w:r>
        <w:rPr>
          <w:rFonts w:hint="eastAsia"/>
          <w:vertAlign w:val="subscript"/>
        </w:rPr>
        <w:t>j</w:t>
      </w:r>
      <w:r>
        <w:rPr>
          <w:vertAlign w:val="subscript"/>
        </w:rPr>
        <w:t xml:space="preserve"> </w:t>
      </w:r>
      <w:r>
        <w:rPr>
          <w:rFonts w:hint="eastAsia"/>
        </w:rPr>
        <w:t>——正交梁对节点的约束影响系数：当楼板为现浇、梁柱中线重合、四侧各梁截面宽度不小于该侧柱截面宽度1/</w:t>
      </w:r>
      <w:r>
        <w:t>2</w:t>
      </w:r>
      <w:r>
        <w:rPr>
          <w:rFonts w:hint="eastAsia"/>
        </w:rPr>
        <w:t>，且正交方向梁高度不小于较高框架梁高度的3/</w:t>
      </w:r>
      <w:r>
        <w:t>4</w:t>
      </w:r>
      <w:r>
        <w:rPr>
          <w:rFonts w:hint="eastAsia"/>
        </w:rPr>
        <w:t>时，可取</w:t>
      </w:r>
      <w:r>
        <w:rPr>
          <w:rFonts w:cs="Times New Roman"/>
          <w:i/>
        </w:rPr>
        <w:t>η</w:t>
      </w:r>
      <w:r>
        <w:rPr>
          <w:rFonts w:hint="eastAsia"/>
          <w:vertAlign w:val="subscript"/>
        </w:rPr>
        <w:t>j</w:t>
      </w:r>
      <w:r>
        <w:rPr>
          <w:rFonts w:hint="eastAsia"/>
        </w:rPr>
        <w:t>为1</w:t>
      </w:r>
      <w:r>
        <w:t>.50</w:t>
      </w:r>
      <w:r>
        <w:rPr>
          <w:rFonts w:hint="eastAsia"/>
        </w:rPr>
        <w:t>；当不满足上述条件时，应取</w:t>
      </w:r>
      <w:r>
        <w:rPr>
          <w:rFonts w:cs="Times New Roman"/>
          <w:i/>
        </w:rPr>
        <w:t>η</w:t>
      </w:r>
      <w:r>
        <w:rPr>
          <w:rFonts w:hint="eastAsia"/>
          <w:vertAlign w:val="subscript"/>
        </w:rPr>
        <w:t>j</w:t>
      </w:r>
      <w:r>
        <w:rPr>
          <w:rFonts w:hint="eastAsia"/>
        </w:rPr>
        <w:t>为1</w:t>
      </w:r>
      <w:r>
        <w:t>.00</w:t>
      </w:r>
      <w:r>
        <w:rPr>
          <w:rFonts w:hint="eastAsia"/>
        </w:rPr>
        <w:t>；</w:t>
      </w:r>
    </w:p>
    <w:p>
      <w:pPr>
        <w:ind w:left="1260" w:leftChars="300" w:hanging="630" w:hangingChars="300"/>
        <w:rPr>
          <w:rFonts w:cs="Times New Roman"/>
        </w:rPr>
      </w:pPr>
      <w:r>
        <w:rPr>
          <w:rFonts w:cs="Times New Roman"/>
          <w:i/>
        </w:rPr>
        <w:t>γ</w:t>
      </w:r>
      <w:r>
        <w:rPr>
          <w:rFonts w:cs="Times New Roman"/>
          <w:vertAlign w:val="subscript"/>
        </w:rPr>
        <w:t>RE</w:t>
      </w:r>
      <w:r>
        <w:rPr>
          <w:rFonts w:hint="eastAsia" w:cs="Times New Roman"/>
        </w:rPr>
        <w:t>——承载力抗震调整系数，可采用0</w:t>
      </w:r>
      <w:r>
        <w:rPr>
          <w:rFonts w:cs="Times New Roman"/>
        </w:rPr>
        <w:t>.85</w:t>
      </w:r>
      <w:r>
        <w:rPr>
          <w:rFonts w:hint="eastAsia" w:cs="Times New Roman"/>
        </w:rPr>
        <w:t>。</w:t>
      </w:r>
    </w:p>
    <w:p>
      <w:pPr>
        <w:pStyle w:val="4"/>
        <w:ind w:right="210"/>
      </w:pPr>
      <w:bookmarkStart w:id="118" w:name="_Hlk182819827"/>
      <w:r>
        <w:rPr>
          <w:rFonts w:hint="eastAsia"/>
        </w:rPr>
        <w:t>钢管开孔C</w:t>
      </w:r>
      <w:r>
        <w:t>FST</w:t>
      </w:r>
      <w:r>
        <w:rPr>
          <w:rFonts w:hint="eastAsia"/>
        </w:rPr>
        <w:t>-</w:t>
      </w:r>
      <w:r>
        <w:t>R</w:t>
      </w:r>
      <w:r>
        <w:rPr>
          <w:rFonts w:hint="eastAsia"/>
        </w:rPr>
        <w:t>B梁柱节点</w:t>
      </w:r>
      <w:bookmarkEnd w:id="118"/>
      <w:r>
        <w:rPr>
          <w:rFonts w:hint="eastAsia"/>
        </w:rPr>
        <w:t>的抗震受剪承载力应符合下列规定：</w:t>
      </w:r>
    </w:p>
    <w:p>
      <w:pPr>
        <w:pStyle w:val="5"/>
        <w:rPr>
          <w:lang w:val="zh-CN"/>
        </w:rPr>
      </w:pPr>
      <w:r>
        <w:rPr>
          <w:rFonts w:hint="eastAsia"/>
          <w:lang w:val="zh-CN"/>
        </w:rPr>
        <w:t>钢管开</w:t>
      </w:r>
      <w:r>
        <w:rPr>
          <w:rFonts w:hint="eastAsia"/>
        </w:rPr>
        <w:t>孔</w:t>
      </w:r>
      <w:r>
        <w:rPr>
          <w:rFonts w:hint="eastAsia"/>
          <w:lang w:val="zh-CN"/>
        </w:rPr>
        <w:t>CFST</w:t>
      </w:r>
      <w:r>
        <w:rPr>
          <w:rFonts w:hint="eastAsia"/>
        </w:rPr>
        <w:t>-</w:t>
      </w:r>
      <w:r>
        <w:t>R</w:t>
      </w:r>
      <w:r>
        <w:rPr>
          <w:rFonts w:hint="eastAsia"/>
        </w:rPr>
        <w:t>B梁柱节点</w:t>
      </w:r>
      <w:r>
        <w:rPr>
          <w:rFonts w:hint="eastAsia"/>
          <w:lang w:val="zh-CN"/>
        </w:rPr>
        <w:t>的抗震受剪承载力</w:t>
      </w:r>
      <w:r>
        <w:rPr>
          <w:rFonts w:hint="eastAsia"/>
          <w:i/>
          <w:iCs/>
          <w:lang w:val="zh-CN"/>
        </w:rPr>
        <w:t>V</w:t>
      </w:r>
      <w:r>
        <w:rPr>
          <w:rFonts w:hint="eastAsia"/>
          <w:vertAlign w:val="subscript"/>
          <w:lang w:val="zh-CN"/>
        </w:rPr>
        <w:t>j</w:t>
      </w:r>
      <w:r>
        <w:rPr>
          <w:rFonts w:hint="eastAsia"/>
          <w:lang w:val="zh-CN"/>
        </w:rPr>
        <w:t>按公式（</w:t>
      </w:r>
      <w:r>
        <w:rPr>
          <w:lang w:val="zh-CN"/>
        </w:rPr>
        <w:t>11</w:t>
      </w:r>
      <w:r>
        <w:rPr>
          <w:rFonts w:hint="eastAsia"/>
          <w:lang w:val="zh-CN"/>
        </w:rPr>
        <w:t xml:space="preserve">）计算: </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14"/>
                <w:sz w:val="20"/>
                <w:szCs w:val="20"/>
              </w:rPr>
              <w:object>
                <v:shape id="_x0000_i1036" o:spt="75" type="#_x0000_t75" style="height:21.9pt;width:73.9pt;" o:ole="t" filled="f" o:preferrelative="t" stroked="f" coordsize="21600,21600">
                  <v:path/>
                  <v:fill on="f" focussize="0,0"/>
                  <v:stroke on="f" joinstyle="miter"/>
                  <v:imagedata r:id="rId51" o:title=""/>
                  <o:lock v:ext="edit" aspectratio="t"/>
                  <w10:wrap type="none"/>
                  <w10:anchorlock/>
                </v:shape>
                <o:OLEObject Type="Embed" ProgID="Equation.DSMT4" ShapeID="_x0000_i1036" DrawAspect="Content" ObjectID="_1468075736" r:id="rId50">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11</w:t>
            </w:r>
            <w:r>
              <w:rPr>
                <w:rFonts w:hint="eastAsia" w:cs="Times New Roman"/>
                <w:kern w:val="0"/>
                <w:sz w:val="20"/>
                <w:szCs w:val="20"/>
              </w:rPr>
              <w:t>）</w:t>
            </w:r>
          </w:p>
        </w:tc>
      </w:tr>
    </w:tbl>
    <w:p>
      <w:pPr>
        <w:ind w:left="1260" w:hanging="1260" w:hangingChars="600"/>
      </w:pPr>
      <w:bookmarkStart w:id="119" w:name="_Hlk170401588"/>
      <w:r>
        <w:rPr>
          <w:rFonts w:hint="eastAsia"/>
        </w:rPr>
        <w:t>式中：</w:t>
      </w:r>
      <w:r>
        <w:rPr>
          <w:rFonts w:hint="eastAsia"/>
          <w:i/>
          <w:iCs/>
        </w:rPr>
        <w:t>V</w:t>
      </w:r>
      <w:r>
        <w:rPr>
          <w:rFonts w:hint="eastAsia"/>
          <w:vertAlign w:val="subscript"/>
        </w:rPr>
        <w:t>js</w:t>
      </w:r>
      <w:r>
        <w:rPr>
          <w:rFonts w:hint="eastAsia"/>
        </w:rPr>
        <w:t>——节点域开孔钢管部分的抗剪能力；</w:t>
      </w:r>
    </w:p>
    <w:p>
      <w:pPr>
        <w:ind w:firstLine="619" w:firstLineChars="295"/>
      </w:pPr>
      <w:r>
        <w:rPr>
          <w:rFonts w:hint="eastAsia"/>
          <w:i/>
          <w:iCs/>
        </w:rPr>
        <w:t>V</w:t>
      </w:r>
      <w:r>
        <w:rPr>
          <w:rFonts w:hint="eastAsia"/>
          <w:vertAlign w:val="subscript"/>
        </w:rPr>
        <w:t>jc</w:t>
      </w:r>
      <w:r>
        <w:rPr>
          <w:rFonts w:hint="eastAsia"/>
        </w:rPr>
        <w:t>——节点域开孔钢管内填混凝土部分的抗剪能力。</w:t>
      </w:r>
    </w:p>
    <w:bookmarkEnd w:id="119"/>
    <w:p>
      <w:pPr>
        <w:pStyle w:val="5"/>
        <w:rPr>
          <w:lang w:val="zh-CN"/>
        </w:rPr>
      </w:pPr>
      <w:r>
        <w:rPr>
          <w:rFonts w:hint="eastAsia"/>
          <w:lang w:val="zh-CN"/>
        </w:rPr>
        <w:t>钢管开</w:t>
      </w:r>
      <w:r>
        <w:rPr>
          <w:rFonts w:hint="eastAsia"/>
        </w:rPr>
        <w:t>孔</w:t>
      </w:r>
      <w:r>
        <w:rPr>
          <w:rFonts w:hint="eastAsia"/>
          <w:lang w:val="zh-CN"/>
        </w:rPr>
        <w:t>CFST -RB梁柱节点开</w:t>
      </w:r>
      <w:r>
        <w:rPr>
          <w:rFonts w:hint="eastAsia"/>
        </w:rPr>
        <w:t>孔</w:t>
      </w:r>
      <w:r>
        <w:rPr>
          <w:rFonts w:hint="eastAsia"/>
          <w:lang w:val="zh-CN"/>
        </w:rPr>
        <w:t>钢管部分受剪承载力</w:t>
      </w:r>
      <w:r>
        <w:rPr>
          <w:rFonts w:hint="eastAsia"/>
          <w:i/>
          <w:iCs/>
          <w:lang w:val="zh-CN"/>
        </w:rPr>
        <w:t>V</w:t>
      </w:r>
      <w:r>
        <w:rPr>
          <w:rFonts w:hint="eastAsia"/>
          <w:vertAlign w:val="subscript"/>
          <w:lang w:val="zh-CN"/>
        </w:rPr>
        <w:t>js</w:t>
      </w:r>
      <w:r>
        <w:rPr>
          <w:rFonts w:hint="eastAsia"/>
          <w:lang w:val="zh-CN"/>
        </w:rPr>
        <w:t>按公式（</w:t>
      </w:r>
      <w:r>
        <w:rPr>
          <w:lang w:val="zh-CN"/>
        </w:rPr>
        <w:t>12</w:t>
      </w:r>
      <w:r>
        <w:rPr>
          <w:rFonts w:hint="eastAsia"/>
          <w:lang w:val="zh-CN"/>
        </w:rPr>
        <w:t>）-（</w:t>
      </w:r>
      <w:r>
        <w:rPr>
          <w:lang w:val="zh-CN"/>
        </w:rPr>
        <w:t>15</w:t>
      </w:r>
      <w:r>
        <w:rPr>
          <w:rFonts w:hint="eastAsia"/>
          <w:lang w:val="zh-CN"/>
        </w:rPr>
        <w:t>）计算：</w:t>
      </w:r>
    </w:p>
    <w:p>
      <w:pPr>
        <w:numPr>
          <w:ilvl w:val="0"/>
          <w:numId w:val="25"/>
        </w:numPr>
        <w:ind w:left="0" w:firstLine="420" w:firstLineChars="0"/>
      </w:pPr>
      <w:r>
        <w:rPr>
          <w:rFonts w:hint="eastAsia"/>
        </w:rPr>
        <w:t>对于单侧开两个孔口的钢管，由缀板和分肢分别计算的钢管部分剪力为：</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28"/>
                <w:sz w:val="20"/>
                <w:szCs w:val="20"/>
              </w:rPr>
              <w:object>
                <v:shape id="_x0000_i1037" o:spt="75" type="#_x0000_t75" style="height:36.3pt;width:70.1pt;" o:ole="t" filled="f" o:preferrelative="t" stroked="f" coordsize="21600,21600">
                  <v:path/>
                  <v:fill on="f" focussize="0,0"/>
                  <v:stroke on="f" joinstyle="miter"/>
                  <v:imagedata r:id="rId53" o:title=""/>
                  <o:lock v:ext="edit" aspectratio="t"/>
                  <w10:wrap type="none"/>
                  <w10:anchorlock/>
                </v:shape>
                <o:OLEObject Type="Embed" ProgID="Equation.DSMT4" ShapeID="_x0000_i1037" DrawAspect="Content" ObjectID="_1468075737" r:id="rId52">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12</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28"/>
                <w:sz w:val="20"/>
                <w:szCs w:val="20"/>
              </w:rPr>
              <w:object>
                <v:shape id="_x0000_i1038" o:spt="75" type="#_x0000_t75" style="height:36.3pt;width:72.65pt;" o:ole="t" filled="f" o:preferrelative="t" stroked="f" coordsize="21600,21600">
                  <v:path/>
                  <v:fill on="f" focussize="0,0"/>
                  <v:stroke on="f" joinstyle="miter"/>
                  <v:imagedata r:id="rId55" o:title=""/>
                  <o:lock v:ext="edit" aspectratio="t"/>
                  <w10:wrap type="none"/>
                  <w10:anchorlock/>
                </v:shape>
                <o:OLEObject Type="Embed" ProgID="Equation.DSMT4" ShapeID="_x0000_i1038" DrawAspect="Content" ObjectID="_1468075738" r:id="rId54">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13</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14"/>
                <w:sz w:val="20"/>
                <w:szCs w:val="20"/>
              </w:rPr>
              <w:object>
                <v:shape id="_x0000_i1039" o:spt="75" type="#_x0000_t75" style="height:20.65pt;width:97.65pt;" o:ole="t" filled="f" o:preferrelative="t" stroked="f" coordsize="21600,21600">
                  <v:path/>
                  <v:fill on="f" focussize="0,0"/>
                  <v:stroke on="f" joinstyle="miter"/>
                  <v:imagedata r:id="rId57" o:title=""/>
                  <o:lock v:ext="edit" aspectratio="t"/>
                  <w10:wrap type="none"/>
                  <w10:anchorlock/>
                </v:shape>
                <o:OLEObject Type="Embed" ProgID="Equation.DSMT4" ShapeID="_x0000_i1039" DrawAspect="Content" ObjectID="_1468075739" r:id="rId56">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14</w:t>
            </w:r>
            <w:r>
              <w:rPr>
                <w:rFonts w:hint="eastAsia" w:cs="Times New Roman"/>
                <w:kern w:val="0"/>
                <w:sz w:val="20"/>
                <w:szCs w:val="20"/>
              </w:rPr>
              <w:t>）</w:t>
            </w:r>
          </w:p>
        </w:tc>
      </w:tr>
    </w:tbl>
    <w:p>
      <w:pPr>
        <w:numPr>
          <w:ilvl w:val="0"/>
          <w:numId w:val="25"/>
        </w:numPr>
        <w:ind w:left="0" w:firstLine="420" w:firstLineChars="0"/>
      </w:pPr>
      <w:r>
        <w:rPr>
          <w:rFonts w:hint="eastAsia"/>
        </w:rPr>
        <w:t>对于单侧开一个孔口的钢管，根据单肢计算的钢管部分剪力为：</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28"/>
                <w:sz w:val="20"/>
                <w:szCs w:val="20"/>
              </w:rPr>
              <w:object>
                <v:shape id="_x0000_i1040" o:spt="75" type="#_x0000_t75" style="height:36.3pt;width:73.9pt;" o:ole="t" filled="f" o:preferrelative="t" stroked="f" coordsize="21600,21600">
                  <v:path/>
                  <v:fill on="f" focussize="0,0"/>
                  <v:stroke on="f" joinstyle="miter"/>
                  <v:imagedata r:id="rId59" o:title=""/>
                  <o:lock v:ext="edit" aspectratio="t"/>
                  <w10:wrap type="none"/>
                  <w10:anchorlock/>
                </v:shape>
                <o:OLEObject Type="Embed" ProgID="Equation.DSMT4" ShapeID="_x0000_i1040" DrawAspect="Content" ObjectID="_1468075740" r:id="rId58">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15</w:t>
            </w:r>
            <w:r>
              <w:rPr>
                <w:rFonts w:hint="eastAsia" w:cs="Times New Roman"/>
                <w:kern w:val="0"/>
                <w:sz w:val="20"/>
                <w:szCs w:val="20"/>
              </w:rPr>
              <w:t>）</w:t>
            </w:r>
          </w:p>
        </w:tc>
      </w:tr>
    </w:tbl>
    <w:p>
      <w:pPr>
        <w:ind w:left="1260" w:hanging="1260" w:hangingChars="600"/>
      </w:pPr>
      <w:r>
        <w:rPr>
          <w:rFonts w:hint="eastAsia"/>
        </w:rPr>
        <w:t>式中：</w:t>
      </w:r>
      <w:bookmarkStart w:id="120" w:name="_Hlk178343496"/>
      <w:r>
        <w:rPr>
          <w:rFonts w:hint="eastAsia"/>
          <w:i/>
          <w:iCs/>
        </w:rPr>
        <w:t>V</w:t>
      </w:r>
      <w:r>
        <w:rPr>
          <w:rFonts w:hint="eastAsia"/>
          <w:vertAlign w:val="subscript"/>
        </w:rPr>
        <w:t>js1</w:t>
      </w:r>
      <w:r>
        <w:rPr>
          <w:rFonts w:hint="eastAsia"/>
        </w:rPr>
        <w:t>——缀板承担的受剪承载力；</w:t>
      </w:r>
    </w:p>
    <w:p>
      <w:pPr>
        <w:ind w:left="1260" w:leftChars="300" w:hanging="630" w:hangingChars="300"/>
      </w:pPr>
      <w:r>
        <w:rPr>
          <w:rFonts w:hint="eastAsia"/>
          <w:i/>
          <w:iCs/>
        </w:rPr>
        <w:t>V</w:t>
      </w:r>
      <w:r>
        <w:rPr>
          <w:rFonts w:hint="eastAsia"/>
          <w:vertAlign w:val="subscript"/>
        </w:rPr>
        <w:t>js2</w:t>
      </w:r>
      <w:r>
        <w:rPr>
          <w:rFonts w:hint="eastAsia"/>
        </w:rPr>
        <w:t>——分肢承担的受剪承载力；</w:t>
      </w:r>
    </w:p>
    <w:bookmarkEnd w:id="120"/>
    <w:p>
      <w:pPr>
        <w:ind w:left="1260" w:leftChars="300" w:hanging="630" w:hangingChars="300"/>
      </w:pPr>
      <w:r>
        <w:rPr>
          <w:rFonts w:hint="eastAsia"/>
          <w:i/>
          <w:iCs/>
        </w:rPr>
        <w:t>W</w:t>
      </w:r>
      <w:r>
        <w:rPr>
          <w:rFonts w:hint="eastAsia"/>
          <w:vertAlign w:val="subscript"/>
        </w:rPr>
        <w:t>x1</w:t>
      </w:r>
      <w:r>
        <w:rPr>
          <w:rFonts w:hint="eastAsia"/>
        </w:rPr>
        <w:t>——缀板的截面模量；</w:t>
      </w:r>
    </w:p>
    <w:p>
      <w:pPr>
        <w:ind w:left="1260" w:leftChars="300" w:hanging="630" w:hangingChars="300"/>
      </w:pPr>
      <w:r>
        <w:rPr>
          <w:rFonts w:hint="eastAsia"/>
          <w:i/>
          <w:iCs/>
        </w:rPr>
        <w:t>W</w:t>
      </w:r>
      <w:r>
        <w:rPr>
          <w:rFonts w:hint="eastAsia"/>
          <w:vertAlign w:val="subscript"/>
        </w:rPr>
        <w:t>x2</w:t>
      </w:r>
      <w:r>
        <w:rPr>
          <w:rFonts w:hint="eastAsia"/>
        </w:rPr>
        <w:t>——分肢的截面模量；</w:t>
      </w:r>
    </w:p>
    <w:p>
      <w:pPr>
        <w:ind w:left="1260" w:leftChars="300" w:hanging="630" w:hangingChars="300"/>
      </w:pPr>
      <w:bookmarkStart w:id="121" w:name="_Hlk178343273"/>
      <w:r>
        <w:rPr>
          <w:rFonts w:hint="eastAsia"/>
          <w:i/>
          <w:iCs/>
        </w:rPr>
        <w:t>f</w:t>
      </w:r>
      <w:r>
        <w:rPr>
          <w:rFonts w:hint="eastAsia"/>
          <w:vertAlign w:val="subscript"/>
        </w:rPr>
        <w:t>y</w:t>
      </w:r>
      <w:r>
        <w:rPr>
          <w:rFonts w:hint="eastAsia"/>
        </w:rPr>
        <w:t>——钢材的屈服强度；</w:t>
      </w:r>
    </w:p>
    <w:bookmarkEnd w:id="121"/>
    <w:p>
      <w:pPr>
        <w:ind w:firstLine="199" w:firstLineChars="95"/>
      </w:pPr>
      <w:bookmarkStart w:id="122" w:name="_Hlk182837866"/>
      <w:bookmarkStart w:id="123" w:name="_Hlk178342983"/>
      <w:r>
        <w:rPr>
          <w:rFonts w:hint="eastAsia"/>
          <w:i/>
        </w:rPr>
        <w:t>h</w:t>
      </w:r>
      <w:r>
        <w:rPr>
          <w:rFonts w:hint="eastAsia"/>
          <w:iCs/>
          <w:vertAlign w:val="subscript"/>
        </w:rPr>
        <w:t>0</w:t>
      </w:r>
      <w:r>
        <w:rPr>
          <w:rFonts w:hint="eastAsia"/>
          <w:i/>
        </w:rPr>
        <w:t>、b</w:t>
      </w:r>
      <w:r>
        <w:rPr>
          <w:rFonts w:hint="eastAsia"/>
          <w:iCs/>
          <w:vertAlign w:val="subscript"/>
        </w:rPr>
        <w:t>0</w:t>
      </w:r>
      <w:r>
        <w:rPr>
          <w:rFonts w:hint="eastAsia"/>
          <w:i/>
        </w:rPr>
        <w:t>——</w:t>
      </w:r>
      <w:r>
        <w:rPr>
          <w:rFonts w:hint="eastAsia"/>
          <w:iCs/>
        </w:rPr>
        <w:t>分别为钢管</w:t>
      </w:r>
      <w:r>
        <w:rPr>
          <w:rFonts w:hint="eastAsia"/>
        </w:rPr>
        <w:t>开孔区域洞口高和洞口宽；</w:t>
      </w:r>
    </w:p>
    <w:bookmarkEnd w:id="122"/>
    <w:bookmarkEnd w:id="123"/>
    <w:p>
      <w:pPr>
        <w:pStyle w:val="5"/>
        <w:rPr>
          <w:lang w:val="zh-CN"/>
        </w:rPr>
      </w:pPr>
      <w:r>
        <w:rPr>
          <w:rFonts w:hint="eastAsia"/>
          <w:lang w:val="zh-CN"/>
        </w:rPr>
        <w:t>钢管开</w:t>
      </w:r>
      <w:r>
        <w:rPr>
          <w:rFonts w:hint="eastAsia"/>
        </w:rPr>
        <w:t>孔</w:t>
      </w:r>
      <w:r>
        <w:rPr>
          <w:rFonts w:hint="eastAsia"/>
          <w:lang w:val="zh-CN"/>
        </w:rPr>
        <w:t>CFST-RB梁柱节点开</w:t>
      </w:r>
      <w:r>
        <w:rPr>
          <w:rFonts w:hint="eastAsia"/>
        </w:rPr>
        <w:t>孔</w:t>
      </w:r>
      <w:r>
        <w:rPr>
          <w:rFonts w:hint="eastAsia"/>
          <w:lang w:val="zh-CN"/>
        </w:rPr>
        <w:t>钢管内填混凝土部分受剪承载力</w:t>
      </w:r>
      <w:r>
        <w:rPr>
          <w:rFonts w:hint="eastAsia"/>
          <w:i/>
          <w:iCs/>
          <w:lang w:val="zh-CN"/>
        </w:rPr>
        <w:t>V</w:t>
      </w:r>
      <w:r>
        <w:rPr>
          <w:rFonts w:hint="eastAsia"/>
          <w:vertAlign w:val="subscript"/>
          <w:lang w:val="zh-CN"/>
        </w:rPr>
        <w:t>jc</w:t>
      </w:r>
      <w:r>
        <w:rPr>
          <w:rFonts w:hint="eastAsia"/>
          <w:lang w:val="zh-CN"/>
        </w:rPr>
        <w:t>按公式（</w:t>
      </w:r>
      <w:r>
        <w:rPr>
          <w:lang w:val="zh-CN"/>
        </w:rPr>
        <w:t>16</w:t>
      </w:r>
      <w:r>
        <w:rPr>
          <w:rFonts w:hint="eastAsia"/>
          <w:lang w:val="zh-CN"/>
        </w:rPr>
        <w:t>）-（</w:t>
      </w:r>
      <w:r>
        <w:rPr>
          <w:lang w:val="zh-CN"/>
        </w:rPr>
        <w:t>18</w:t>
      </w:r>
      <w:r>
        <w:rPr>
          <w:rFonts w:hint="eastAsia"/>
          <w:lang w:val="zh-CN"/>
        </w:rPr>
        <w:t>）计算:</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9"/>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14"/>
                <w:sz w:val="20"/>
                <w:szCs w:val="20"/>
              </w:rPr>
              <w:object>
                <v:shape id="_x0000_i1041" o:spt="75" type="#_x0000_t75" style="height:24.4pt;width:126.45pt;" o:ole="t" filled="f" o:preferrelative="t" stroked="f" coordsize="21600,21600">
                  <v:path/>
                  <v:fill on="f" focussize="0,0"/>
                  <v:stroke on="f" joinstyle="miter"/>
                  <v:imagedata r:id="rId61" o:title=""/>
                  <o:lock v:ext="edit" aspectratio="t"/>
                  <w10:wrap type="none"/>
                  <w10:anchorlock/>
                </v:shape>
                <o:OLEObject Type="Embed" ProgID="Equation.DSMT4" ShapeID="_x0000_i1041" DrawAspect="Content" ObjectID="_1468075741" r:id="rId60">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16</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12"/>
                <w:sz w:val="20"/>
                <w:szCs w:val="20"/>
              </w:rPr>
              <w:object>
                <v:shape id="_x0000_i1042" o:spt="75" type="#_x0000_t75" style="height:21.9pt;width:85.15pt;" o:ole="t" filled="f" o:preferrelative="t" stroked="f" coordsize="21600,21600">
                  <v:path/>
                  <v:fill on="f" focussize="0,0"/>
                  <v:stroke on="f" joinstyle="miter"/>
                  <v:imagedata r:id="rId63" o:title=""/>
                  <o:lock v:ext="edit" aspectratio="t"/>
                  <w10:wrap type="none"/>
                  <w10:anchorlock/>
                </v:shape>
                <o:OLEObject Type="Embed" ProgID="Equation.DSMT4" ShapeID="_x0000_i1042" DrawAspect="Content" ObjectID="_1468075742" r:id="rId62">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17</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9" w:type="dxa"/>
            <w:vAlign w:val="center"/>
          </w:tcPr>
          <w:p>
            <w:pPr>
              <w:ind w:firstLine="0" w:firstLineChars="0"/>
              <w:jc w:val="center"/>
              <w:rPr>
                <w:rFonts w:cs="Times New Roman"/>
                <w:kern w:val="0"/>
                <w:sz w:val="20"/>
                <w:szCs w:val="20"/>
              </w:rPr>
            </w:pPr>
            <w:r>
              <w:rPr>
                <w:rFonts w:cs="Times New Roman"/>
                <w:kern w:val="0"/>
                <w:position w:val="-22"/>
                <w:sz w:val="20"/>
                <w:szCs w:val="20"/>
              </w:rPr>
              <w:object>
                <v:shape id="_x0000_i1043" o:spt="75" type="#_x0000_t75" style="height:32.55pt;width:90.15pt;" o:ole="t" filled="f" o:preferrelative="t" stroked="f" coordsize="21600,21600">
                  <v:path/>
                  <v:fill on="f" focussize="0,0"/>
                  <v:stroke on="f" joinstyle="miter"/>
                  <v:imagedata r:id="rId65" o:title=""/>
                  <o:lock v:ext="edit" aspectratio="t"/>
                  <w10:wrap type="none"/>
                  <w10:anchorlock/>
                </v:shape>
                <o:OLEObject Type="Embed" ProgID="Equation.DSMT4" ShapeID="_x0000_i1043" DrawAspect="Content" ObjectID="_1468075743" r:id="rId64">
                  <o:LockedField>false</o:LockedField>
                </o:OLEObject>
              </w:object>
            </w:r>
          </w:p>
        </w:tc>
        <w:tc>
          <w:tcPr>
            <w:tcW w:w="1302"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18</w:t>
            </w:r>
            <w:r>
              <w:rPr>
                <w:rFonts w:hint="eastAsia" w:cs="Times New Roman"/>
                <w:kern w:val="0"/>
                <w:sz w:val="20"/>
                <w:szCs w:val="20"/>
              </w:rPr>
              <w:t>）</w:t>
            </w:r>
          </w:p>
        </w:tc>
      </w:tr>
    </w:tbl>
    <w:p>
      <w:pPr>
        <w:ind w:left="1260" w:hanging="1260" w:hangingChars="600"/>
      </w:pPr>
      <w:r>
        <w:rPr>
          <w:rFonts w:hint="eastAsia"/>
        </w:rPr>
        <w:t>式中：</w:t>
      </w:r>
      <w:r>
        <w:rPr>
          <w:rFonts w:cs="Times New Roman"/>
          <w:i/>
        </w:rPr>
        <w:t>ξ</w:t>
      </w:r>
      <w:r>
        <w:rPr>
          <w:rFonts w:hint="eastAsia"/>
        </w:rPr>
        <w:t>——混凝土抗压强度软化系数，节点域混凝土在实际受力过程中处于一侧受压、一侧受拉的受力状态，因此混凝土的应力应乘以混凝土抗压强度软化系数，</w:t>
      </w:r>
      <w:r>
        <w:rPr>
          <w:rFonts w:hint="eastAsia"/>
          <w:i/>
          <w:iCs/>
        </w:rPr>
        <w:t>k</w:t>
      </w:r>
      <w:r>
        <w:rPr>
          <w:rFonts w:hint="eastAsia"/>
        </w:rPr>
        <w:t>一般可取3；</w:t>
      </w:r>
    </w:p>
    <w:p>
      <w:pPr>
        <w:ind w:firstLine="619" w:firstLineChars="295"/>
      </w:pPr>
      <w:r>
        <w:rPr>
          <w:i/>
        </w:rPr>
        <w:t>f</w:t>
      </w:r>
      <w:r>
        <w:rPr>
          <w:iCs/>
          <w:vertAlign w:val="subscript"/>
        </w:rPr>
        <w:t>ck</w:t>
      </w:r>
      <w:r>
        <w:rPr>
          <w:rFonts w:hint="eastAsia"/>
        </w:rPr>
        <w:t>——混凝土轴心抗压强度标准值。</w:t>
      </w:r>
    </w:p>
    <w:p>
      <w:pPr>
        <w:pStyle w:val="4"/>
        <w:ind w:right="210"/>
      </w:pPr>
      <w:r>
        <w:rPr>
          <w:rFonts w:hint="eastAsia"/>
        </w:rPr>
        <w:t>钢管开孔C</w:t>
      </w:r>
      <w:r>
        <w:t>FST</w:t>
      </w:r>
      <w:r>
        <w:rPr>
          <w:rFonts w:hint="eastAsia"/>
        </w:rPr>
        <w:t>-</w:t>
      </w:r>
      <w:r>
        <w:t>R</w:t>
      </w:r>
      <w:r>
        <w:rPr>
          <w:rFonts w:hint="eastAsia"/>
        </w:rPr>
        <w:t>B梁柱节点应验算轴压承载力，且不得低于与其相连的C</w:t>
      </w:r>
      <w:r>
        <w:t>FST</w:t>
      </w:r>
      <w:r>
        <w:rPr>
          <w:rFonts w:hint="eastAsia"/>
        </w:rPr>
        <w:t>柱的轴压承载力。</w:t>
      </w:r>
    </w:p>
    <w:p>
      <w:pPr>
        <w:pStyle w:val="4"/>
        <w:ind w:right="210"/>
      </w:pPr>
      <w:bookmarkStart w:id="124" w:name="_Hlk170659367"/>
      <w:r>
        <w:rPr>
          <w:rFonts w:hint="eastAsia"/>
        </w:rPr>
        <w:t>钢管开孔CFST-RB方形柱轴压承载力</w:t>
      </w:r>
      <w:bookmarkEnd w:id="124"/>
      <w:r>
        <w:rPr>
          <w:rFonts w:hint="eastAsia"/>
        </w:rPr>
        <w:t>应符合下列规定：</w:t>
      </w:r>
      <w:bookmarkStart w:id="125" w:name="_Hlk170402411"/>
    </w:p>
    <w:p>
      <w:pPr>
        <w:pStyle w:val="5"/>
        <w:rPr>
          <w:lang w:val="zh-CN"/>
        </w:rPr>
      </w:pPr>
      <w:r>
        <w:rPr>
          <w:rFonts w:hint="eastAsia"/>
          <w:lang w:val="zh-CN"/>
        </w:rPr>
        <w:t>钢管开</w:t>
      </w:r>
      <w:r>
        <w:rPr>
          <w:rFonts w:hint="eastAsia"/>
        </w:rPr>
        <w:t>孔</w:t>
      </w:r>
      <w:r>
        <w:rPr>
          <w:rFonts w:hint="eastAsia"/>
          <w:lang w:val="zh-CN"/>
        </w:rPr>
        <w:t>CFST-RB方形柱的轴压承载力</w:t>
      </w:r>
      <w:r>
        <w:rPr>
          <w:rFonts w:hint="eastAsia"/>
          <w:i/>
          <w:iCs/>
          <w:lang w:val="zh-CN"/>
        </w:rPr>
        <w:t>N</w:t>
      </w:r>
      <w:r>
        <w:rPr>
          <w:rFonts w:hint="eastAsia"/>
          <w:vertAlign w:val="subscript"/>
          <w:lang w:val="zh-CN"/>
        </w:rPr>
        <w:t>0</w:t>
      </w:r>
      <w:r>
        <w:rPr>
          <w:rFonts w:hint="eastAsia"/>
          <w:lang w:val="zh-CN"/>
        </w:rPr>
        <w:t>按公式（</w:t>
      </w:r>
      <w:r>
        <w:t>19</w:t>
      </w:r>
      <w:r>
        <w:rPr>
          <w:rFonts w:hint="eastAsia"/>
          <w:lang w:val="zh-CN"/>
        </w:rPr>
        <w:t>）计算:</w:t>
      </w:r>
      <w:r>
        <w:rPr>
          <w:lang w:val="zh-CN"/>
        </w:rPr>
        <w:t xml:space="preserve"> </w:t>
      </w:r>
    </w:p>
    <w:bookmarkEnd w:id="125"/>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7"/>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10"/>
                <w:sz w:val="20"/>
                <w:szCs w:val="20"/>
              </w:rPr>
              <w:object>
                <v:shape id="_x0000_i1044" o:spt="75" type="#_x0000_t75" style="height:18.8pt;width:73.9pt;" o:ole="t" filled="f" o:preferrelative="t" stroked="f" coordsize="21600,21600">
                  <v:path/>
                  <v:fill on="f" focussize="0,0"/>
                  <v:stroke on="f" joinstyle="miter"/>
                  <v:imagedata r:id="rId67" o:title=""/>
                  <o:lock v:ext="edit" aspectratio="t"/>
                  <w10:wrap type="none"/>
                  <w10:anchorlock/>
                </v:shape>
                <o:OLEObject Type="Embed" ProgID="Equation.DSMT4" ShapeID="_x0000_i1044" DrawAspect="Content" ObjectID="_1468075744" r:id="rId66">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19</w:t>
            </w:r>
            <w:r>
              <w:rPr>
                <w:rFonts w:hint="eastAsia" w:cs="Times New Roman"/>
                <w:kern w:val="0"/>
                <w:sz w:val="20"/>
                <w:szCs w:val="20"/>
              </w:rPr>
              <w:t>）</w:t>
            </w:r>
          </w:p>
        </w:tc>
      </w:tr>
    </w:tbl>
    <w:p>
      <w:pPr>
        <w:ind w:left="1260" w:hanging="1260" w:hangingChars="600"/>
      </w:pPr>
      <w:bookmarkStart w:id="126" w:name="_Hlk170402677"/>
      <w:r>
        <w:rPr>
          <w:rFonts w:hint="eastAsia"/>
        </w:rPr>
        <w:t>式中：</w:t>
      </w:r>
      <w:bookmarkStart w:id="127" w:name="_Hlk170401670"/>
      <w:r>
        <w:rPr>
          <w:rFonts w:hint="eastAsia"/>
          <w:i/>
        </w:rPr>
        <w:t>N</w:t>
      </w:r>
      <w:r>
        <w:rPr>
          <w:vertAlign w:val="subscript"/>
        </w:rPr>
        <w:t>c</w:t>
      </w:r>
      <w:bookmarkEnd w:id="127"/>
      <w:r>
        <w:rPr>
          <w:rFonts w:hint="eastAsia"/>
        </w:rPr>
        <w:t>——开洞区域钢管内填混凝土轴压承载力；</w:t>
      </w:r>
    </w:p>
    <w:p>
      <w:pPr>
        <w:ind w:firstLine="619" w:firstLineChars="295"/>
      </w:pPr>
      <w:r>
        <w:rPr>
          <w:rFonts w:hint="eastAsia"/>
          <w:i/>
        </w:rPr>
        <w:t>N</w:t>
      </w:r>
      <w:r>
        <w:rPr>
          <w:rFonts w:hint="eastAsia"/>
          <w:vertAlign w:val="subscript"/>
        </w:rPr>
        <w:t>s</w:t>
      </w:r>
      <w:r>
        <w:rPr>
          <w:rFonts w:hint="eastAsia"/>
        </w:rPr>
        <w:t>——开洞区域单根角钢轴压承载力。</w:t>
      </w:r>
    </w:p>
    <w:p>
      <w:pPr>
        <w:pStyle w:val="5"/>
        <w:rPr>
          <w:lang w:val="zh-CN"/>
        </w:rPr>
      </w:pPr>
      <w:r>
        <w:rPr>
          <w:rFonts w:hint="eastAsia"/>
          <w:lang w:val="zh-CN"/>
        </w:rPr>
        <w:t>开</w:t>
      </w:r>
      <w:r>
        <w:rPr>
          <w:rFonts w:hint="eastAsia"/>
        </w:rPr>
        <w:t>孔</w:t>
      </w:r>
      <w:r>
        <w:rPr>
          <w:rFonts w:hint="eastAsia"/>
          <w:lang w:val="zh-CN"/>
        </w:rPr>
        <w:t>区域单根角钢轴压承载力</w:t>
      </w:r>
      <w:r>
        <w:rPr>
          <w:rFonts w:hint="eastAsia"/>
          <w:i/>
          <w:iCs/>
          <w:lang w:val="zh-CN"/>
        </w:rPr>
        <w:t>N</w:t>
      </w:r>
      <w:r>
        <w:rPr>
          <w:vertAlign w:val="subscript"/>
          <w:lang w:val="zh-CN"/>
        </w:rPr>
        <w:t>s</w:t>
      </w:r>
      <w:r>
        <w:rPr>
          <w:rFonts w:hint="eastAsia"/>
          <w:lang w:val="zh-CN"/>
        </w:rPr>
        <w:t>按公式（</w:t>
      </w:r>
      <w:r>
        <w:rPr>
          <w:lang w:val="zh-CN"/>
        </w:rPr>
        <w:t>20</w:t>
      </w:r>
      <w:r>
        <w:rPr>
          <w:rFonts w:hint="eastAsia"/>
          <w:lang w:val="zh-CN"/>
        </w:rPr>
        <w:t>）</w:t>
      </w:r>
      <w:bookmarkStart w:id="128" w:name="_Hlk170404853"/>
      <w:r>
        <w:rPr>
          <w:rFonts w:hint="eastAsia"/>
          <w:lang w:val="zh-CN"/>
        </w:rPr>
        <w:t>-（</w:t>
      </w:r>
      <w:r>
        <w:rPr>
          <w:lang w:val="zh-CN"/>
        </w:rPr>
        <w:t>23</w:t>
      </w:r>
      <w:r>
        <w:rPr>
          <w:rFonts w:hint="eastAsia"/>
          <w:lang w:val="zh-CN"/>
        </w:rPr>
        <w:t>）</w:t>
      </w:r>
      <w:bookmarkEnd w:id="128"/>
      <w:r>
        <w:rPr>
          <w:rFonts w:hint="eastAsia"/>
          <w:lang w:val="zh-CN"/>
        </w:rPr>
        <w:t>计算:</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7"/>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28"/>
                <w:sz w:val="19"/>
                <w:szCs w:val="19"/>
              </w:rPr>
              <w:object>
                <v:shape id="_x0000_i1045" o:spt="75" type="#_x0000_t75" style="height:38.8pt;width:94.55pt;" o:ole="t" filled="f" o:preferrelative="t" stroked="f" coordsize="21600,21600">
                  <v:path/>
                  <v:fill on="f" focussize="0,0"/>
                  <v:stroke on="f" joinstyle="miter"/>
                  <v:imagedata r:id="rId69" o:title=""/>
                  <o:lock v:ext="edit" aspectratio="t"/>
                  <w10:wrap type="none"/>
                  <w10:anchorlock/>
                </v:shape>
                <o:OLEObject Type="Embed" ProgID="Equation.DSMT4" ShapeID="_x0000_i1045" DrawAspect="Content" ObjectID="_1468075745" r:id="rId68">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20</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30"/>
                <w:sz w:val="19"/>
                <w:szCs w:val="19"/>
              </w:rPr>
              <w:object>
                <v:shape id="_x0000_i1046" o:spt="75" type="#_x0000_t75" style="height:41.3pt;width:184.05pt;" o:ole="t" filled="f" o:preferrelative="t" stroked="f" coordsize="21600,21600">
                  <v:path/>
                  <v:fill on="f" focussize="0,0"/>
                  <v:stroke on="f" joinstyle="miter"/>
                  <v:imagedata r:id="rId71" o:title=""/>
                  <o:lock v:ext="edit" aspectratio="t"/>
                  <w10:wrap type="none"/>
                  <w10:anchorlock/>
                </v:shape>
                <o:OLEObject Type="Embed" ProgID="Equation.DSMT4" ShapeID="_x0000_i1046" DrawAspect="Content" ObjectID="_1468075746" r:id="rId70">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21</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12"/>
                <w:sz w:val="19"/>
                <w:szCs w:val="19"/>
              </w:rPr>
              <w:object>
                <v:shape id="_x0000_i1047" o:spt="75" type="#_x0000_t75" style="height:24.4pt;width:125.2pt;" o:ole="t" filled="f" o:preferrelative="t" stroked="f" coordsize="21600,21600">
                  <v:path/>
                  <v:fill on="f" focussize="0,0"/>
                  <v:stroke on="f" joinstyle="miter"/>
                  <v:imagedata r:id="rId73" o:title=""/>
                  <o:lock v:ext="edit" aspectratio="t"/>
                  <w10:wrap type="none"/>
                  <w10:anchorlock/>
                </v:shape>
                <o:OLEObject Type="Embed" ProgID="Equation.DSMT4" ShapeID="_x0000_i1047" DrawAspect="Content" ObjectID="_1468075747" r:id="rId72">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22</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10"/>
                <w:sz w:val="19"/>
                <w:szCs w:val="19"/>
              </w:rPr>
              <w:object>
                <v:shape id="_x0000_i1048" o:spt="75" type="#_x0000_t75" style="height:20.65pt;width:119.6pt;" o:ole="t" filled="f" o:preferrelative="t" stroked="f" coordsize="21600,21600">
                  <v:path/>
                  <v:fill on="f" focussize="0,0"/>
                  <v:stroke on="f" joinstyle="miter"/>
                  <v:imagedata r:id="rId75" o:title=""/>
                  <o:lock v:ext="edit" aspectratio="t"/>
                  <w10:wrap type="none"/>
                  <w10:anchorlock/>
                </v:shape>
                <o:OLEObject Type="Embed" ProgID="Equation.DSMT4" ShapeID="_x0000_i1048" DrawAspect="Content" ObjectID="_1468075748" r:id="rId74">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23</w:t>
            </w:r>
            <w:r>
              <w:rPr>
                <w:rFonts w:hint="eastAsia" w:cs="Times New Roman"/>
                <w:kern w:val="0"/>
                <w:sz w:val="20"/>
                <w:szCs w:val="20"/>
              </w:rPr>
              <w:t>）</w:t>
            </w:r>
          </w:p>
        </w:tc>
      </w:tr>
    </w:tbl>
    <w:p>
      <w:pPr>
        <w:ind w:left="1260" w:hanging="1260" w:hangingChars="600"/>
      </w:pPr>
      <w:r>
        <w:rPr>
          <w:rFonts w:hint="eastAsia"/>
        </w:rPr>
        <w:t>式中：</w:t>
      </w:r>
      <w:r>
        <w:rPr>
          <w:rFonts w:hint="eastAsia"/>
          <w:i/>
        </w:rPr>
        <w:t>N</w:t>
      </w:r>
      <w:r>
        <w:rPr>
          <w:rFonts w:hint="eastAsia"/>
          <w:iCs/>
          <w:vertAlign w:val="subscript"/>
        </w:rPr>
        <w:t>s1</w:t>
      </w:r>
      <w:r>
        <w:rPr>
          <w:rFonts w:hint="eastAsia"/>
        </w:rPr>
        <w:t>——按照截面强度验算得到的轴压承载力；</w:t>
      </w:r>
    </w:p>
    <w:p>
      <w:pPr>
        <w:ind w:left="1260" w:leftChars="300" w:hanging="630" w:hangingChars="300"/>
      </w:pPr>
      <w:r>
        <w:rPr>
          <w:rFonts w:hint="eastAsia"/>
          <w:i/>
        </w:rPr>
        <w:t>N</w:t>
      </w:r>
      <w:r>
        <w:rPr>
          <w:rFonts w:hint="eastAsia"/>
          <w:iCs/>
          <w:vertAlign w:val="subscript"/>
        </w:rPr>
        <w:t>s2</w:t>
      </w:r>
      <w:r>
        <w:rPr>
          <w:rFonts w:hint="eastAsia"/>
        </w:rPr>
        <w:t>——按照截面稳定验算得到的轴压承载力；</w:t>
      </w:r>
    </w:p>
    <w:p>
      <w:pPr>
        <w:ind w:left="1249" w:leftChars="295" w:hanging="630" w:hangingChars="300"/>
      </w:pPr>
      <w:r>
        <w:rPr>
          <w:rFonts w:cs="Times New Roman"/>
          <w:i/>
        </w:rPr>
        <w:t>γ</w:t>
      </w:r>
      <w:r>
        <w:rPr>
          <w:rFonts w:cs="Times New Roman"/>
          <w:vertAlign w:val="subscript"/>
        </w:rPr>
        <w:t>y</w:t>
      </w:r>
      <w:r>
        <w:rPr>
          <w:rFonts w:hint="eastAsia"/>
        </w:rPr>
        <w:t>——截面塑性发展系数；</w:t>
      </w:r>
    </w:p>
    <w:p>
      <w:pPr>
        <w:ind w:left="1249" w:leftChars="295" w:hanging="630" w:hangingChars="300"/>
      </w:pPr>
      <w:r>
        <w:rPr>
          <w:rFonts w:hint="eastAsia" w:cs="Times New Roman"/>
          <w:i/>
        </w:rPr>
        <w:t>A</w:t>
      </w:r>
      <w:r>
        <w:rPr>
          <w:rFonts w:hint="eastAsia" w:cs="Times New Roman"/>
          <w:vertAlign w:val="subscript"/>
        </w:rPr>
        <w:t>s</w:t>
      </w:r>
      <w:r>
        <w:rPr>
          <w:rFonts w:hint="eastAsia"/>
        </w:rPr>
        <w:t>——单个角钢截面面积；</w:t>
      </w:r>
    </w:p>
    <w:p>
      <w:pPr>
        <w:ind w:left="1249" w:leftChars="295" w:hanging="630" w:hangingChars="300"/>
      </w:pPr>
      <w:r>
        <w:rPr>
          <w:rFonts w:hint="eastAsia" w:cs="Times New Roman"/>
          <w:i/>
        </w:rPr>
        <w:t>W</w:t>
      </w:r>
      <w:r>
        <w:rPr>
          <w:rFonts w:hint="eastAsia" w:cs="Times New Roman"/>
          <w:vertAlign w:val="subscript"/>
        </w:rPr>
        <w:t>ny</w:t>
      </w:r>
      <w:r>
        <w:rPr>
          <w:rFonts w:hint="eastAsia"/>
        </w:rPr>
        <w:t>——绕</w:t>
      </w:r>
      <w:r>
        <w:rPr>
          <w:rFonts w:hint="eastAsia"/>
          <w:i/>
          <w:iCs/>
        </w:rPr>
        <w:t>y</w:t>
      </w:r>
      <w:r>
        <w:rPr>
          <w:rFonts w:hint="eastAsia"/>
        </w:rPr>
        <w:t>-</w:t>
      </w:r>
      <w:r>
        <w:rPr>
          <w:rFonts w:hint="eastAsia"/>
          <w:i/>
          <w:iCs/>
        </w:rPr>
        <w:t>y</w:t>
      </w:r>
      <w:r>
        <w:rPr>
          <w:rFonts w:hint="eastAsia"/>
        </w:rPr>
        <w:t>轴的净截面模量；</w:t>
      </w:r>
    </w:p>
    <w:p>
      <w:pPr>
        <w:ind w:left="1249" w:leftChars="295" w:hanging="630" w:hangingChars="300"/>
      </w:pPr>
      <w:r>
        <w:rPr>
          <w:rFonts w:cs="Times New Roman"/>
          <w:i/>
        </w:rPr>
        <w:t>φ</w:t>
      </w:r>
      <w:r>
        <w:rPr>
          <w:rFonts w:hint="eastAsia" w:cs="Times New Roman"/>
          <w:vertAlign w:val="subscript"/>
        </w:rPr>
        <w:t>y</w:t>
      </w:r>
      <w:r>
        <w:rPr>
          <w:rFonts w:hint="eastAsia"/>
        </w:rPr>
        <w:t>——弯矩作用平面内轴心受压构件稳定系数；</w:t>
      </w:r>
    </w:p>
    <w:p>
      <w:pPr>
        <w:ind w:left="1249" w:leftChars="295" w:hanging="630" w:hangingChars="300"/>
      </w:pPr>
      <w:r>
        <w:rPr>
          <w:rFonts w:hint="eastAsia" w:cs="Times New Roman"/>
          <w:i/>
        </w:rPr>
        <w:t>W</w:t>
      </w:r>
      <w:r>
        <w:rPr>
          <w:rFonts w:hint="eastAsia" w:cs="Times New Roman"/>
          <w:vertAlign w:val="subscript"/>
        </w:rPr>
        <w:t>1y</w:t>
      </w:r>
      <w:r>
        <w:rPr>
          <w:rFonts w:hint="eastAsia"/>
        </w:rPr>
        <w:t>——在弯矩作用平面内对受压最大纤维的毛截面模量；</w:t>
      </w:r>
    </w:p>
    <w:p>
      <w:pPr>
        <w:ind w:left="1249" w:leftChars="295" w:hanging="630" w:hangingChars="300"/>
      </w:pPr>
      <w:r>
        <w:rPr>
          <w:rFonts w:hint="eastAsia" w:cs="Times New Roman"/>
          <w:i/>
        </w:rPr>
        <w:t>N</w:t>
      </w:r>
      <w:r>
        <w:rPr>
          <w:rFonts w:hint="eastAsia" w:cs="Times New Roman"/>
          <w:vertAlign w:val="subscript"/>
        </w:rPr>
        <w:t>Ey</w:t>
      </w:r>
      <w:r>
        <w:rPr>
          <w:rFonts w:hint="eastAsia" w:cs="Times New Roman"/>
        </w:rPr>
        <w:t>'</w:t>
      </w:r>
      <w:r>
        <w:rPr>
          <w:rFonts w:hint="eastAsia"/>
        </w:rPr>
        <w:t>——参数，按式（</w:t>
      </w:r>
      <w:r>
        <w:t>22</w:t>
      </w:r>
      <w:r>
        <w:rPr>
          <w:rFonts w:hint="eastAsia"/>
        </w:rPr>
        <w:t>）计算；</w:t>
      </w:r>
    </w:p>
    <w:p>
      <w:pPr>
        <w:ind w:left="1249" w:leftChars="295" w:hanging="630" w:hangingChars="300"/>
      </w:pPr>
      <w:r>
        <w:rPr>
          <w:rFonts w:cs="Times New Roman"/>
          <w:i/>
        </w:rPr>
        <w:t>λ</w:t>
      </w:r>
      <w:r>
        <w:rPr>
          <w:rFonts w:cs="Times New Roman"/>
          <w:vertAlign w:val="subscript"/>
        </w:rPr>
        <w:t>y</w:t>
      </w:r>
      <w:r>
        <w:rPr>
          <w:rFonts w:hint="eastAsia"/>
        </w:rPr>
        <w:t>——弯矩作用平面内角钢的长细比，可按计算长度为0.5</w:t>
      </w:r>
      <w:r>
        <w:rPr>
          <w:rFonts w:hint="eastAsia"/>
          <w:i/>
          <w:iCs/>
        </w:rPr>
        <w:t>h</w:t>
      </w:r>
      <w:r>
        <w:rPr>
          <w:rFonts w:hint="eastAsia"/>
        </w:rPr>
        <w:t>计算；</w:t>
      </w:r>
    </w:p>
    <w:p>
      <w:pPr>
        <w:ind w:left="1249" w:leftChars="295" w:hanging="630" w:hangingChars="300"/>
      </w:pPr>
      <w:r>
        <w:rPr>
          <w:rFonts w:cs="Times New Roman"/>
          <w:i/>
        </w:rPr>
        <w:t>β</w:t>
      </w:r>
      <w:r>
        <w:rPr>
          <w:rFonts w:hint="eastAsia" w:cs="Times New Roman"/>
          <w:iCs/>
          <w:vertAlign w:val="subscript"/>
        </w:rPr>
        <w:t>m</w:t>
      </w:r>
      <w:r>
        <w:rPr>
          <w:rFonts w:cs="Times New Roman"/>
          <w:iCs/>
          <w:vertAlign w:val="subscript"/>
        </w:rPr>
        <w:t>y</w:t>
      </w:r>
      <w:r>
        <w:rPr>
          <w:rFonts w:hint="eastAsia"/>
        </w:rPr>
        <w:t>——等效弯矩系数，按无侧移框架柱两端支承构件在端弯矩和横向荷载同时作用时的情况考虑。</w:t>
      </w:r>
    </w:p>
    <w:p>
      <w:pPr>
        <w:pStyle w:val="5"/>
        <w:rPr>
          <w:lang w:val="zh-CN"/>
        </w:rPr>
      </w:pPr>
      <w:r>
        <w:rPr>
          <w:rFonts w:hint="eastAsia"/>
          <w:lang w:val="zh-CN"/>
        </w:rPr>
        <w:t>单根角钢受到的弯矩</w:t>
      </w:r>
      <w:r>
        <w:rPr>
          <w:rFonts w:hint="eastAsia"/>
          <w:i/>
          <w:iCs/>
          <w:lang w:val="zh-CN"/>
        </w:rPr>
        <w:t>M</w:t>
      </w:r>
      <w:r>
        <w:rPr>
          <w:rFonts w:hint="eastAsia"/>
          <w:lang w:val="zh-CN"/>
        </w:rPr>
        <w:t>按公式（</w:t>
      </w:r>
      <w:r>
        <w:t>24</w:t>
      </w:r>
      <w:r>
        <w:rPr>
          <w:rFonts w:hint="eastAsia"/>
          <w:lang w:val="zh-CN"/>
        </w:rPr>
        <w:t>）-（</w:t>
      </w:r>
      <w:r>
        <w:t>27</w:t>
      </w:r>
      <w:r>
        <w:rPr>
          <w:rFonts w:hint="eastAsia"/>
          <w:lang w:val="zh-CN"/>
        </w:rPr>
        <w:t>）计算</w:t>
      </w:r>
      <w:r>
        <w:rPr>
          <w:lang w:val="zh-CN"/>
        </w:rPr>
        <w:t>:</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7"/>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58"/>
                <w:sz w:val="19"/>
                <w:szCs w:val="19"/>
              </w:rPr>
              <w:object>
                <v:shape id="_x0000_i1049" o:spt="75" type="#_x0000_t75" style="height:70.1pt;width:149.65pt;" o:ole="t" filled="f" o:preferrelative="t" stroked="f" coordsize="21600,21600">
                  <v:path/>
                  <v:fill on="f" focussize="0,0"/>
                  <v:stroke on="f" joinstyle="miter"/>
                  <v:imagedata r:id="rId77" o:title=""/>
                  <o:lock v:ext="edit" aspectratio="t"/>
                  <w10:wrap type="none"/>
                  <w10:anchorlock/>
                </v:shape>
                <o:OLEObject Type="Embed" ProgID="Equation.DSMT4" ShapeID="_x0000_i1049" DrawAspect="Content" ObjectID="_1468075749" r:id="rId76">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24</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30"/>
                <w:sz w:val="19"/>
                <w:szCs w:val="19"/>
              </w:rPr>
              <w:object>
                <v:shape id="_x0000_i1050" o:spt="75" type="#_x0000_t75" style="height:40.05pt;width:233.55pt;" o:ole="t" filled="f" o:preferrelative="t" stroked="f" coordsize="21600,21600">
                  <v:path/>
                  <v:fill on="f" focussize="0,0"/>
                  <v:stroke on="f" joinstyle="miter"/>
                  <v:imagedata r:id="rId79" o:title=""/>
                  <o:lock v:ext="edit" aspectratio="t"/>
                  <w10:wrap type="none"/>
                  <w10:anchorlock/>
                </v:shape>
                <o:OLEObject Type="Embed" ProgID="Equation.DSMT4" ShapeID="_x0000_i1050" DrawAspect="Content" ObjectID="_1468075750" r:id="rId78">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25</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14"/>
                <w:sz w:val="19"/>
                <w:szCs w:val="19"/>
              </w:rPr>
              <w:object>
                <v:shape id="_x0000_i1051" o:spt="75" type="#_x0000_t75" style="height:25.65pt;width:73.9pt;" o:ole="t" filled="f" o:preferrelative="t" stroked="f" coordsize="21600,21600">
                  <v:path/>
                  <v:fill on="f" focussize="0,0"/>
                  <v:stroke on="f" joinstyle="miter"/>
                  <v:imagedata r:id="rId81" o:title=""/>
                  <o:lock v:ext="edit" aspectratio="t"/>
                  <w10:wrap type="none"/>
                  <w10:anchorlock/>
                </v:shape>
                <o:OLEObject Type="Embed" ProgID="Equation.DSMT4" ShapeID="_x0000_i1051" DrawAspect="Content" ObjectID="_1468075751" r:id="rId80">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26</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spacing w:line="240" w:lineRule="auto"/>
              <w:ind w:firstLine="0" w:firstLineChars="0"/>
              <w:jc w:val="center"/>
              <w:rPr>
                <w:rFonts w:cs="Times New Roman"/>
                <w:kern w:val="0"/>
                <w:sz w:val="20"/>
                <w:szCs w:val="20"/>
              </w:rPr>
            </w:pPr>
            <w:r>
              <w:rPr>
                <w:rFonts w:cs="Times New Roman"/>
                <w:kern w:val="0"/>
                <w:position w:val="-14"/>
                <w:sz w:val="20"/>
                <w:szCs w:val="20"/>
              </w:rPr>
              <w:object>
                <v:shape id="_x0000_i1052" o:spt="75" type="#_x0000_t75" style="height:21.9pt;width:68.25pt;" o:ole="t" filled="f" o:preferrelative="t" stroked="f" coordsize="21600,21600">
                  <v:path/>
                  <v:fill on="f" focussize="0,0"/>
                  <v:stroke on="f" joinstyle="miter"/>
                  <v:imagedata r:id="rId83" o:title=""/>
                  <o:lock v:ext="edit" aspectratio="t"/>
                  <w10:wrap type="none"/>
                  <w10:anchorlock/>
                </v:shape>
                <o:OLEObject Type="Embed" ProgID="Equation.DSMT4" ShapeID="_x0000_i1052" DrawAspect="Content" ObjectID="_1468075752" r:id="rId82">
                  <o:LockedField>false</o:LockedField>
                </o:OLEObject>
              </w:object>
            </w:r>
          </w:p>
        </w:tc>
        <w:tc>
          <w:tcPr>
            <w:tcW w:w="1304"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27</w:t>
            </w:r>
            <w:r>
              <w:rPr>
                <w:rFonts w:hint="eastAsia" w:cs="Times New Roman"/>
                <w:kern w:val="0"/>
                <w:sz w:val="20"/>
                <w:szCs w:val="20"/>
              </w:rPr>
              <w:t>）</w:t>
            </w:r>
          </w:p>
        </w:tc>
      </w:tr>
    </w:tbl>
    <w:p>
      <w:pPr>
        <w:ind w:firstLine="0" w:firstLineChars="0"/>
      </w:pPr>
      <w:r>
        <w:rPr>
          <w:rFonts w:hint="eastAsia"/>
        </w:rPr>
        <w:t>式中：</w:t>
      </w:r>
      <w:r>
        <w:rPr>
          <w:rFonts w:hint="eastAsia"/>
          <w:i/>
        </w:rPr>
        <w:t>M——</w:t>
      </w:r>
      <w:r>
        <w:rPr>
          <w:rFonts w:hint="eastAsia"/>
        </w:rPr>
        <w:t>单根角钢所受最大弯矩；</w:t>
      </w:r>
    </w:p>
    <w:p>
      <w:pPr>
        <w:ind w:firstLine="619" w:firstLineChars="295"/>
      </w:pPr>
      <w:r>
        <w:rPr>
          <w:rFonts w:cs="Times New Roman"/>
          <w:i/>
        </w:rPr>
        <w:t>σ</w:t>
      </w:r>
      <w:r>
        <w:rPr>
          <w:rFonts w:cs="Times New Roman"/>
          <w:vertAlign w:val="subscript"/>
        </w:rPr>
        <w:t>θ</w:t>
      </w:r>
      <w:r>
        <w:rPr>
          <w:rFonts w:hint="eastAsia"/>
        </w:rPr>
        <w:t>——未削弱</w:t>
      </w:r>
      <w:r>
        <w:t>CFST</w:t>
      </w:r>
      <w:r>
        <w:rPr>
          <w:rFonts w:hint="eastAsia"/>
        </w:rPr>
        <w:t>柱中钢管平均横向应力；</w:t>
      </w:r>
    </w:p>
    <w:p>
      <w:pPr>
        <w:ind w:firstLine="630" w:firstLineChars="300"/>
      </w:pPr>
      <w:r>
        <w:rPr>
          <w:rFonts w:hint="eastAsia"/>
          <w:i/>
        </w:rPr>
        <w:t>q</w:t>
      </w:r>
      <w:r>
        <w:rPr>
          <w:rFonts w:hint="eastAsia"/>
        </w:rPr>
        <w:t>——单根角钢受到的横向线荷载；</w:t>
      </w:r>
    </w:p>
    <w:p>
      <w:pPr>
        <w:ind w:firstLine="630" w:firstLineChars="300"/>
      </w:pPr>
      <w:r>
        <w:rPr>
          <w:rFonts w:hint="eastAsia"/>
          <w:i/>
        </w:rPr>
        <w:t>K</w:t>
      </w:r>
      <w:r>
        <w:rPr>
          <w:rFonts w:hint="eastAsia"/>
        </w:rPr>
        <w:t>——孔口间钢板弹性线刚度之和；</w:t>
      </w:r>
    </w:p>
    <w:p>
      <w:pPr>
        <w:ind w:firstLine="619" w:firstLineChars="295"/>
        <w:rPr>
          <w:i/>
        </w:rPr>
      </w:pPr>
      <w:r>
        <w:rPr>
          <w:rFonts w:hint="eastAsia"/>
          <w:i/>
        </w:rPr>
        <w:t>h</w:t>
      </w:r>
      <w:r>
        <w:rPr>
          <w:rFonts w:hint="eastAsia"/>
          <w:iCs/>
          <w:vertAlign w:val="subscript"/>
        </w:rPr>
        <w:t>0</w:t>
      </w:r>
      <w:r>
        <w:rPr>
          <w:rFonts w:hint="eastAsia"/>
          <w:i/>
        </w:rPr>
        <w:t>——</w:t>
      </w:r>
      <w:r>
        <w:rPr>
          <w:rFonts w:hint="eastAsia"/>
          <w:iCs/>
        </w:rPr>
        <w:t>钢管单侧开两个小洞时钢管</w:t>
      </w:r>
      <w:r>
        <w:rPr>
          <w:rFonts w:hint="eastAsia"/>
        </w:rPr>
        <w:t>开孔区域洞口高。</w:t>
      </w:r>
    </w:p>
    <w:p>
      <w:pPr>
        <w:ind w:firstLine="619" w:firstLineChars="295"/>
      </w:pPr>
      <w:r>
        <w:rPr>
          <w:rFonts w:hint="eastAsia"/>
          <w:i/>
        </w:rPr>
        <w:t>b</w:t>
      </w:r>
      <w:r>
        <w:rPr>
          <w:rFonts w:hint="eastAsia"/>
          <w:iCs/>
          <w:vertAlign w:val="subscript"/>
        </w:rPr>
        <w:t>0</w:t>
      </w:r>
      <w:r>
        <w:rPr>
          <w:rFonts w:hint="eastAsia"/>
          <w:i/>
        </w:rPr>
        <w:t>——</w:t>
      </w:r>
      <w:r>
        <w:rPr>
          <w:rFonts w:hint="eastAsia"/>
          <w:iCs/>
        </w:rPr>
        <w:t>钢管单侧开两个小洞时钢管</w:t>
      </w:r>
      <w:r>
        <w:rPr>
          <w:rFonts w:hint="eastAsia"/>
        </w:rPr>
        <w:t>开孔区域洞口宽。</w:t>
      </w:r>
    </w:p>
    <w:p>
      <w:pPr>
        <w:ind w:firstLine="630" w:firstLineChars="300"/>
      </w:pPr>
      <w:r>
        <w:rPr>
          <w:rFonts w:hint="eastAsia"/>
          <w:i/>
        </w:rPr>
        <w:t>h</w:t>
      </w:r>
      <w:r>
        <w:rPr>
          <w:rFonts w:hint="eastAsia"/>
          <w:iCs/>
          <w:vertAlign w:val="subscript"/>
        </w:rPr>
        <w:t>t</w:t>
      </w:r>
      <w:r>
        <w:rPr>
          <w:rFonts w:hint="eastAsia"/>
          <w:i/>
        </w:rPr>
        <w:t>——</w:t>
      </w:r>
      <w:r>
        <w:rPr>
          <w:rFonts w:hint="eastAsia"/>
          <w:iCs/>
        </w:rPr>
        <w:t>钢管单侧开一个大洞时</w:t>
      </w:r>
      <w:r>
        <w:rPr>
          <w:rFonts w:hint="eastAsia"/>
        </w:rPr>
        <w:t>孔口高；</w:t>
      </w:r>
    </w:p>
    <w:p>
      <w:pPr>
        <w:pStyle w:val="5"/>
        <w:rPr>
          <w:lang w:val="zh-CN"/>
        </w:rPr>
      </w:pPr>
      <w:bookmarkStart w:id="129" w:name="_Hlk170401649"/>
      <w:r>
        <w:rPr>
          <w:rFonts w:hint="eastAsia"/>
          <w:lang w:val="zh-CN"/>
        </w:rPr>
        <w:t>内填混凝土轴压承载力</w:t>
      </w:r>
      <w:bookmarkEnd w:id="129"/>
      <w:r>
        <w:rPr>
          <w:rFonts w:hint="eastAsia"/>
          <w:i/>
          <w:iCs/>
          <w:lang w:val="zh-CN"/>
        </w:rPr>
        <w:t>N</w:t>
      </w:r>
      <w:r>
        <w:rPr>
          <w:vertAlign w:val="subscript"/>
          <w:lang w:val="zh-CN"/>
        </w:rPr>
        <w:t>c</w:t>
      </w:r>
      <w:r>
        <w:rPr>
          <w:rFonts w:hint="eastAsia"/>
          <w:lang w:val="zh-CN"/>
        </w:rPr>
        <w:t>按公式（</w:t>
      </w:r>
      <w:r>
        <w:rPr>
          <w:lang w:val="zh-CN"/>
        </w:rPr>
        <w:t>28</w:t>
      </w:r>
      <w:r>
        <w:rPr>
          <w:rFonts w:hint="eastAsia"/>
          <w:lang w:val="zh-CN"/>
        </w:rPr>
        <w:t>）计算：</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2"/>
        <w:gridCol w:w="1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22" w:type="dxa"/>
            <w:vAlign w:val="center"/>
          </w:tcPr>
          <w:p>
            <w:pPr>
              <w:spacing w:line="240" w:lineRule="auto"/>
              <w:ind w:firstLine="380"/>
              <w:jc w:val="center"/>
              <w:rPr>
                <w:rFonts w:cs="Times New Roman"/>
                <w:kern w:val="0"/>
                <w:sz w:val="20"/>
                <w:szCs w:val="20"/>
              </w:rPr>
            </w:pPr>
            <w:r>
              <w:rPr>
                <w:rFonts w:cs="Times New Roman"/>
                <w:kern w:val="0"/>
                <w:position w:val="-10"/>
                <w:sz w:val="19"/>
                <w:szCs w:val="19"/>
              </w:rPr>
              <w:object>
                <v:shape id="_x0000_i1053" o:spt="75" type="#_x0000_t75" style="height:22.55pt;width:63.85pt;" o:ole="t" filled="f" o:preferrelative="t" stroked="f" coordsize="21600,21600">
                  <v:path/>
                  <v:fill on="f" focussize="0,0"/>
                  <v:stroke on="f" joinstyle="miter"/>
                  <v:imagedata r:id="rId85" o:title=""/>
                  <o:lock v:ext="edit" aspectratio="t"/>
                  <w10:wrap type="none"/>
                  <w10:anchorlock/>
                </v:shape>
                <o:OLEObject Type="Embed" ProgID="Equation.DSMT4" ShapeID="_x0000_i1053" DrawAspect="Content" ObjectID="_1468075753" r:id="rId84">
                  <o:LockedField>false</o:LockedField>
                </o:OLEObject>
              </w:object>
            </w:r>
          </w:p>
        </w:tc>
        <w:tc>
          <w:tcPr>
            <w:tcW w:w="1449" w:type="dxa"/>
            <w:vAlign w:val="center"/>
          </w:tcPr>
          <w:p>
            <w:pPr>
              <w:spacing w:line="240" w:lineRule="auto"/>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28</w:t>
            </w:r>
            <w:r>
              <w:rPr>
                <w:rFonts w:hint="eastAsia" w:cs="Times New Roman"/>
                <w:kern w:val="0"/>
                <w:sz w:val="20"/>
                <w:szCs w:val="20"/>
              </w:rPr>
              <w:t>）</w:t>
            </w:r>
          </w:p>
        </w:tc>
      </w:tr>
    </w:tbl>
    <w:p>
      <w:pPr>
        <w:ind w:firstLine="0" w:firstLineChars="0"/>
      </w:pPr>
      <w:r>
        <w:rPr>
          <w:rFonts w:hint="eastAsia"/>
        </w:rPr>
        <w:t>式中：</w:t>
      </w:r>
      <w:r>
        <w:rPr>
          <w:rFonts w:hint="eastAsia"/>
          <w:i/>
        </w:rPr>
        <w:t>f</w:t>
      </w:r>
      <w:r>
        <w:rPr>
          <w:vertAlign w:val="subscript"/>
        </w:rPr>
        <w:t>c</w:t>
      </w:r>
      <w:r>
        <w:rPr>
          <w:rFonts w:hint="eastAsia"/>
        </w:rPr>
        <w:t>'——标定混凝土峰值压应力的圆柱体抗压强度</w:t>
      </w:r>
      <w:r>
        <w:t>0.79</w:t>
      </w:r>
      <w:r>
        <w:rPr>
          <w:i/>
        </w:rPr>
        <w:t>f</w:t>
      </w:r>
      <w:r>
        <w:rPr>
          <w:vertAlign w:val="subscript"/>
        </w:rPr>
        <w:t>cu</w:t>
      </w:r>
      <w:r>
        <w:rPr>
          <w:rFonts w:hint="eastAsia"/>
          <w:vertAlign w:val="subscript"/>
        </w:rPr>
        <w:t>,</w:t>
      </w:r>
      <w:r>
        <w:rPr>
          <w:vertAlign w:val="subscript"/>
        </w:rPr>
        <w:t>k</w:t>
      </w:r>
      <w:r>
        <w:rPr>
          <w:rFonts w:hint="eastAsia"/>
        </w:rPr>
        <w:t>；</w:t>
      </w:r>
    </w:p>
    <w:p>
      <w:pPr>
        <w:ind w:firstLine="630" w:firstLineChars="300"/>
      </w:pPr>
      <w:r>
        <w:rPr>
          <w:rFonts w:hint="eastAsia"/>
          <w:i/>
        </w:rPr>
        <w:t>A</w:t>
      </w:r>
      <w:r>
        <w:rPr>
          <w:vertAlign w:val="subscript"/>
        </w:rPr>
        <w:t>c</w:t>
      </w:r>
      <w:r>
        <w:rPr>
          <w:rFonts w:hint="eastAsia"/>
        </w:rPr>
        <w:t>——内填混凝土截面积。</w:t>
      </w:r>
    </w:p>
    <w:bookmarkEnd w:id="126"/>
    <w:p>
      <w:pPr>
        <w:pStyle w:val="4"/>
        <w:ind w:right="210"/>
      </w:pPr>
      <w:bookmarkStart w:id="130" w:name="_Hlk182901540"/>
      <w:r>
        <w:rPr>
          <w:rFonts w:hint="eastAsia"/>
        </w:rPr>
        <w:t>RC-SB节点的受剪承载力</w:t>
      </w:r>
      <w:bookmarkEnd w:id="130"/>
      <w:r>
        <w:rPr>
          <w:rFonts w:hint="eastAsia"/>
        </w:rPr>
        <w:t>应符合公式</w:t>
      </w:r>
      <w:r>
        <w:rPr>
          <w:rFonts w:hint="eastAsia"/>
          <w:lang w:val="zh-CN"/>
        </w:rPr>
        <w:t>（</w:t>
      </w:r>
      <w:r>
        <w:rPr>
          <w:lang w:val="zh-CN"/>
        </w:rPr>
        <w:t>29</w:t>
      </w:r>
      <w:r>
        <w:rPr>
          <w:rFonts w:hint="eastAsia"/>
          <w:lang w:val="zh-CN"/>
        </w:rPr>
        <w:t>）-（</w:t>
      </w:r>
      <w:r>
        <w:rPr>
          <w:lang w:val="zh-CN"/>
        </w:rPr>
        <w:t>30</w:t>
      </w:r>
      <w:r>
        <w:rPr>
          <w:rFonts w:hint="eastAsia"/>
          <w:lang w:val="zh-CN"/>
        </w:rPr>
        <w:t>）</w:t>
      </w:r>
      <w:r>
        <w:rPr>
          <w:rFonts w:hint="eastAsia"/>
        </w:rPr>
        <w:t>规定：</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2"/>
        <w:gridCol w:w="1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22" w:type="dxa"/>
            <w:vAlign w:val="center"/>
          </w:tcPr>
          <w:p>
            <w:pPr>
              <w:ind w:firstLine="0" w:firstLineChars="0"/>
              <w:jc w:val="center"/>
              <w:rPr>
                <w:rFonts w:cs="Times New Roman"/>
                <w:kern w:val="0"/>
                <w:sz w:val="20"/>
                <w:szCs w:val="20"/>
              </w:rPr>
            </w:pPr>
            <w:r>
              <w:rPr>
                <w:rFonts w:ascii="宋体" w:hAnsi="宋体" w:cs="Times New Roman"/>
                <w:kern w:val="0"/>
                <w:position w:val="-12"/>
                <w:sz w:val="24"/>
                <w:szCs w:val="20"/>
              </w:rPr>
              <w:object>
                <v:shape id="_x0000_i1054" o:spt="75" type="#_x0000_t75" style="height:18.8pt;width:65.1pt;" o:ole="t" filled="f" o:preferrelative="t" stroked="f" coordsize="21600,21600">
                  <v:path/>
                  <v:fill on="f" focussize="0,0"/>
                  <v:stroke on="f" joinstyle="miter"/>
                  <v:imagedata r:id="rId87" o:title=""/>
                  <o:lock v:ext="edit" aspectratio="t"/>
                  <w10:wrap type="none"/>
                  <w10:anchorlock/>
                </v:shape>
                <o:OLEObject Type="Embed" ProgID="Equation.DSMT4" ShapeID="_x0000_i1054" DrawAspect="Content" ObjectID="_1468075754" r:id="rId86">
                  <o:LockedField>false</o:LockedField>
                </o:OLEObject>
              </w:object>
            </w:r>
          </w:p>
        </w:tc>
        <w:tc>
          <w:tcPr>
            <w:tcW w:w="1449"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29</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22" w:type="dxa"/>
            <w:vAlign w:val="center"/>
          </w:tcPr>
          <w:p>
            <w:pPr>
              <w:ind w:firstLine="0" w:firstLineChars="0"/>
              <w:jc w:val="center"/>
              <w:rPr>
                <w:rFonts w:cs="Times New Roman"/>
                <w:kern w:val="0"/>
                <w:sz w:val="20"/>
                <w:szCs w:val="20"/>
              </w:rPr>
            </w:pPr>
            <w:r>
              <w:rPr>
                <w:rFonts w:ascii="宋体" w:hAnsi="宋体" w:cs="Times New Roman"/>
                <w:kern w:val="0"/>
                <w:position w:val="-12"/>
                <w:sz w:val="24"/>
                <w:szCs w:val="20"/>
              </w:rPr>
              <w:object>
                <v:shape id="_x0000_i1055" o:spt="75" type="#_x0000_t75" style="height:18.8pt;width:58.85pt;" o:ole="t" filled="f" o:preferrelative="t" stroked="f" coordsize="21600,21600">
                  <v:path/>
                  <v:fill on="f" focussize="0,0"/>
                  <v:stroke on="f" joinstyle="miter"/>
                  <v:imagedata r:id="rId89" o:title=""/>
                  <o:lock v:ext="edit" aspectratio="t"/>
                  <w10:wrap type="none"/>
                  <w10:anchorlock/>
                </v:shape>
                <o:OLEObject Type="Embed" ProgID="Equation.DSMT4" ShapeID="_x0000_i1055" DrawAspect="Content" ObjectID="_1468075755" r:id="rId88">
                  <o:LockedField>false</o:LockedField>
                </o:OLEObject>
              </w:object>
            </w:r>
          </w:p>
        </w:tc>
        <w:tc>
          <w:tcPr>
            <w:tcW w:w="1449"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30</w:t>
            </w:r>
            <w:r>
              <w:rPr>
                <w:rFonts w:hint="eastAsia" w:cs="Times New Roman"/>
                <w:kern w:val="0"/>
                <w:sz w:val="20"/>
                <w:szCs w:val="20"/>
              </w:rPr>
              <w:t>）</w:t>
            </w:r>
          </w:p>
        </w:tc>
      </w:tr>
    </w:tbl>
    <w:p>
      <w:pPr>
        <w:ind w:firstLine="0" w:firstLineChars="0"/>
        <w:rPr>
          <w:szCs w:val="21"/>
        </w:rPr>
      </w:pPr>
      <w:r>
        <w:rPr>
          <w:rFonts w:hint="eastAsia" w:ascii="宋体" w:hAnsi="宋体"/>
          <w:szCs w:val="21"/>
        </w:rPr>
        <w:t>式中</w:t>
      </w:r>
      <w:r>
        <w:rPr>
          <w:rFonts w:ascii="宋体" w:hAnsi="宋体"/>
          <w:szCs w:val="21"/>
        </w:rPr>
        <w:t>：</w:t>
      </w:r>
      <w:r>
        <w:rPr>
          <w:rFonts w:cs="Times New Roman"/>
          <w:i/>
          <w:szCs w:val="21"/>
        </w:rPr>
        <w:t>V</w:t>
      </w:r>
      <w:r>
        <w:rPr>
          <w:rFonts w:hint="eastAsia"/>
        </w:rPr>
        <w:t>——</w:t>
      </w:r>
      <w:r>
        <w:rPr>
          <w:rFonts w:hint="eastAsia"/>
          <w:szCs w:val="21"/>
        </w:rPr>
        <w:t>节点核心区斜截面上的最大剪力设计值；</w:t>
      </w:r>
    </w:p>
    <w:p>
      <w:pPr>
        <w:ind w:firstLine="630" w:firstLineChars="300"/>
        <w:rPr>
          <w:rFonts w:cs="Times New Roman"/>
          <w:szCs w:val="21"/>
        </w:rPr>
      </w:pPr>
      <w:r>
        <w:rPr>
          <w:rFonts w:cs="Times New Roman"/>
          <w:i/>
          <w:szCs w:val="21"/>
        </w:rPr>
        <w:t>V</w:t>
      </w:r>
      <w:r>
        <w:rPr>
          <w:rFonts w:cs="Times New Roman"/>
          <w:szCs w:val="21"/>
          <w:vertAlign w:val="subscript"/>
        </w:rPr>
        <w:t>cs</w:t>
      </w:r>
      <w:r>
        <w:rPr>
          <w:rFonts w:cs="Times New Roman"/>
        </w:rPr>
        <w:t>——</w:t>
      </w:r>
      <w:bookmarkStart w:id="131" w:name="_Hlk182901557"/>
      <w:r>
        <w:rPr>
          <w:rFonts w:cs="Times New Roman"/>
          <w:szCs w:val="21"/>
        </w:rPr>
        <w:t>节点核心区斜截面上混凝土和箍筋的受剪承载力设计值</w:t>
      </w:r>
      <w:bookmarkEnd w:id="131"/>
      <w:r>
        <w:rPr>
          <w:rFonts w:cs="Times New Roman"/>
          <w:szCs w:val="21"/>
        </w:rPr>
        <w:t>；</w:t>
      </w:r>
    </w:p>
    <w:p>
      <w:pPr>
        <w:ind w:firstLine="630" w:firstLineChars="300"/>
        <w:rPr>
          <w:rFonts w:ascii="宋体" w:hAnsi="宋体"/>
          <w:szCs w:val="21"/>
        </w:rPr>
      </w:pPr>
      <w:r>
        <w:rPr>
          <w:rFonts w:cs="Times New Roman"/>
          <w:i/>
          <w:szCs w:val="21"/>
        </w:rPr>
        <w:t>V</w:t>
      </w:r>
      <w:r>
        <w:rPr>
          <w:rFonts w:cs="Times New Roman"/>
          <w:szCs w:val="21"/>
          <w:vertAlign w:val="subscript"/>
        </w:rPr>
        <w:t>s</w:t>
      </w:r>
      <w:r>
        <w:rPr>
          <w:rFonts w:hint="eastAsia"/>
        </w:rPr>
        <w:t>——</w:t>
      </w:r>
      <w:r>
        <w:rPr>
          <w:rFonts w:hint="eastAsia" w:ascii="宋体" w:hAnsi="宋体"/>
          <w:szCs w:val="21"/>
        </w:rPr>
        <w:t>外包钢管的受剪承载力设计值；</w:t>
      </w:r>
    </w:p>
    <w:p>
      <w:pPr>
        <w:ind w:firstLine="630" w:firstLineChars="300"/>
        <w:rPr>
          <w:rFonts w:ascii="宋体" w:hAnsi="宋体"/>
          <w:szCs w:val="21"/>
        </w:rPr>
      </w:pPr>
      <w:r>
        <w:rPr>
          <w:rFonts w:cs="Times New Roman"/>
          <w:i/>
          <w:szCs w:val="21"/>
        </w:rPr>
        <w:t>γ</w:t>
      </w:r>
      <w:r>
        <w:rPr>
          <w:rFonts w:cs="Times New Roman"/>
          <w:szCs w:val="21"/>
          <w:vertAlign w:val="subscript"/>
        </w:rPr>
        <w:t>RE</w:t>
      </w:r>
      <w:r>
        <w:rPr>
          <w:rFonts w:hint="eastAsia"/>
        </w:rPr>
        <w:t>——</w:t>
      </w:r>
      <w:r>
        <w:rPr>
          <w:rFonts w:hint="eastAsia" w:ascii="宋体" w:hAnsi="宋体"/>
          <w:szCs w:val="21"/>
        </w:rPr>
        <w:t>承载力抗震调整系数；</w:t>
      </w:r>
    </w:p>
    <w:p>
      <w:pPr>
        <w:ind w:firstLine="630" w:firstLineChars="300"/>
        <w:rPr>
          <w:rFonts w:ascii="宋体" w:hAnsi="宋体"/>
          <w:szCs w:val="21"/>
        </w:rPr>
      </w:pPr>
      <w:r>
        <w:rPr>
          <w:rFonts w:cs="Times New Roman"/>
          <w:i/>
          <w:szCs w:val="21"/>
        </w:rPr>
        <w:t>V</w:t>
      </w:r>
      <w:r>
        <w:rPr>
          <w:rFonts w:cs="Times New Roman"/>
          <w:iCs/>
          <w:szCs w:val="21"/>
          <w:vertAlign w:val="subscript"/>
        </w:rPr>
        <w:t>j</w:t>
      </w:r>
      <w:r>
        <w:rPr>
          <w:rFonts w:hint="eastAsia"/>
        </w:rPr>
        <w:t>——</w:t>
      </w:r>
      <w:r>
        <w:rPr>
          <w:rFonts w:hint="eastAsia" w:ascii="宋体" w:hAnsi="宋体"/>
          <w:szCs w:val="21"/>
        </w:rPr>
        <w:t>一、二、三级抗震等级的节点斜截面的剪力设计值。</w:t>
      </w:r>
    </w:p>
    <w:p>
      <w:pPr>
        <w:pStyle w:val="5"/>
        <w:rPr>
          <w:lang w:val="zh-CN"/>
        </w:rPr>
      </w:pPr>
      <w:r>
        <w:rPr>
          <w:rFonts w:hint="eastAsia"/>
          <w:lang w:val="zh-CN"/>
        </w:rPr>
        <w:t>节点核心区斜截面上混凝土和箍筋的受剪承载力设计值按公式（</w:t>
      </w:r>
      <w:r>
        <w:rPr>
          <w:lang w:val="zh-CN"/>
        </w:rPr>
        <w:t>31</w:t>
      </w:r>
      <w:r>
        <w:rPr>
          <w:rFonts w:hint="eastAsia"/>
          <w:lang w:val="zh-CN"/>
        </w:rPr>
        <w:t>）计算：</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2"/>
        <w:gridCol w:w="1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22" w:type="dxa"/>
            <w:vAlign w:val="center"/>
          </w:tcPr>
          <w:p>
            <w:pPr>
              <w:ind w:firstLine="0" w:firstLineChars="0"/>
              <w:jc w:val="center"/>
              <w:rPr>
                <w:rFonts w:cs="Times New Roman"/>
                <w:kern w:val="0"/>
                <w:sz w:val="20"/>
                <w:szCs w:val="21"/>
              </w:rPr>
            </w:pPr>
            <w:r>
              <w:rPr>
                <w:rFonts w:ascii="宋体" w:hAnsi="宋体" w:cs="Times New Roman"/>
                <w:kern w:val="0"/>
                <w:position w:val="-20"/>
                <w:sz w:val="20"/>
                <w:szCs w:val="21"/>
              </w:rPr>
              <w:object>
                <v:shape id="_x0000_i1056" o:spt="75" type="#_x0000_t75" style="height:31.95pt;width:138.35pt;" o:ole="t" filled="f" o:preferrelative="t" stroked="f" coordsize="21600,21600">
                  <v:path/>
                  <v:fill on="f" focussize="0,0"/>
                  <v:stroke on="f" joinstyle="miter"/>
                  <v:imagedata r:id="rId91" o:title=""/>
                  <o:lock v:ext="edit" aspectratio="t"/>
                  <w10:wrap type="none"/>
                  <w10:anchorlock/>
                </v:shape>
                <o:OLEObject Type="Embed" ProgID="Equation.DSMT4" ShapeID="_x0000_i1056" DrawAspect="Content" ObjectID="_1468075756" r:id="rId90">
                  <o:LockedField>false</o:LockedField>
                </o:OLEObject>
              </w:object>
            </w:r>
          </w:p>
        </w:tc>
        <w:tc>
          <w:tcPr>
            <w:tcW w:w="1449" w:type="dxa"/>
            <w:vAlign w:val="center"/>
          </w:tcPr>
          <w:p>
            <w:pPr>
              <w:ind w:firstLine="0" w:firstLineChars="0"/>
              <w:jc w:val="center"/>
              <w:rPr>
                <w:rFonts w:cs="Times New Roman"/>
                <w:kern w:val="0"/>
                <w:sz w:val="20"/>
                <w:szCs w:val="21"/>
              </w:rPr>
            </w:pPr>
            <w:r>
              <w:rPr>
                <w:rFonts w:hint="eastAsia" w:cs="Times New Roman"/>
                <w:kern w:val="0"/>
                <w:sz w:val="20"/>
                <w:szCs w:val="21"/>
              </w:rPr>
              <w:t>（</w:t>
            </w:r>
            <w:r>
              <w:rPr>
                <w:rFonts w:cs="Times New Roman"/>
                <w:kern w:val="0"/>
                <w:sz w:val="20"/>
                <w:szCs w:val="21"/>
              </w:rPr>
              <w:t>31</w:t>
            </w:r>
            <w:r>
              <w:rPr>
                <w:rFonts w:hint="eastAsia" w:cs="Times New Roman"/>
                <w:kern w:val="0"/>
                <w:sz w:val="20"/>
                <w:szCs w:val="21"/>
              </w:rPr>
              <w:t>）</w:t>
            </w:r>
          </w:p>
        </w:tc>
      </w:tr>
    </w:tbl>
    <w:p>
      <w:pPr>
        <w:ind w:firstLine="0" w:firstLineChars="0"/>
        <w:rPr>
          <w:rFonts w:ascii="宋体" w:hAnsi="宋体"/>
          <w:szCs w:val="21"/>
        </w:rPr>
      </w:pPr>
      <w:r>
        <w:rPr>
          <w:rFonts w:hint="eastAsia" w:ascii="宋体" w:hAnsi="宋体"/>
          <w:szCs w:val="21"/>
        </w:rPr>
        <w:t>式中</w:t>
      </w:r>
      <w:r>
        <w:rPr>
          <w:rFonts w:ascii="宋体" w:hAnsi="宋体"/>
          <w:szCs w:val="21"/>
        </w:rPr>
        <w:t>：</w:t>
      </w:r>
      <w:r>
        <w:rPr>
          <w:rFonts w:ascii="宋体" w:hAnsi="宋体"/>
          <w:i/>
          <w:szCs w:val="21"/>
        </w:rPr>
        <w:sym w:font="Symbol" w:char="F06C"/>
      </w:r>
      <w:r>
        <w:rPr>
          <w:rFonts w:hint="eastAsia"/>
        </w:rPr>
        <w:t>——</w:t>
      </w:r>
      <w:r>
        <w:rPr>
          <w:rFonts w:hint="eastAsia" w:ascii="宋体" w:hAnsi="宋体"/>
          <w:szCs w:val="21"/>
        </w:rPr>
        <w:t>偏心受压构件计算截面的剪跨比，取为</w:t>
      </w:r>
      <w:r>
        <w:rPr>
          <w:rFonts w:ascii="宋体" w:hAnsi="宋体"/>
          <w:position w:val="-10"/>
          <w:szCs w:val="21"/>
        </w:rPr>
        <w:object>
          <v:shape id="_x0000_i1057" o:spt="75" type="#_x0000_t75" style="height:14.4pt;width:36.3pt;" o:ole="t" filled="f" o:preferrelative="t" stroked="f" coordsize="21600,21600">
            <v:path/>
            <v:fill on="f" focussize="0,0"/>
            <v:stroke on="f" joinstyle="miter"/>
            <v:imagedata r:id="rId93" o:title=""/>
            <o:lock v:ext="edit" aspectratio="t"/>
            <w10:wrap type="none"/>
            <w10:anchorlock/>
          </v:shape>
          <o:OLEObject Type="Embed" ProgID="Equation.DSMT4" ShapeID="_x0000_i1057" DrawAspect="Content" ObjectID="_1468075757" r:id="rId92">
            <o:LockedField>false</o:LockedField>
          </o:OLEObject>
        </w:object>
      </w:r>
      <w:r>
        <w:rPr>
          <w:rFonts w:hint="eastAsia" w:ascii="宋体" w:hAnsi="宋体"/>
          <w:szCs w:val="21"/>
        </w:rPr>
        <w:t>；</w:t>
      </w:r>
    </w:p>
    <w:p>
      <w:pPr>
        <w:ind w:firstLine="630" w:firstLineChars="300"/>
        <w:rPr>
          <w:rFonts w:ascii="宋体" w:hAnsi="宋体"/>
          <w:szCs w:val="21"/>
        </w:rPr>
      </w:pPr>
      <w:r>
        <w:rPr>
          <w:rFonts w:hint="eastAsia"/>
          <w:i/>
        </w:rPr>
        <w:t>f</w:t>
      </w:r>
      <w:r>
        <w:rPr>
          <w:vertAlign w:val="subscript"/>
        </w:rPr>
        <w:t>t</w:t>
      </w:r>
      <w:r>
        <w:rPr>
          <w:rFonts w:hint="eastAsia"/>
        </w:rPr>
        <w:t>——</w:t>
      </w:r>
      <w:r>
        <w:rPr>
          <w:rFonts w:hint="eastAsia" w:ascii="宋体" w:hAnsi="宋体"/>
          <w:szCs w:val="21"/>
        </w:rPr>
        <w:t>混凝土的抗拉强度设计值；</w:t>
      </w:r>
    </w:p>
    <w:p>
      <w:pPr>
        <w:ind w:firstLine="630" w:firstLineChars="300"/>
        <w:rPr>
          <w:rFonts w:ascii="宋体" w:hAnsi="宋体"/>
          <w:szCs w:val="21"/>
        </w:rPr>
      </w:pPr>
      <w:bookmarkStart w:id="132" w:name="_Hlk183080639"/>
      <w:r>
        <w:rPr>
          <w:rFonts w:cs="Times New Roman"/>
          <w:i/>
          <w:szCs w:val="21"/>
        </w:rPr>
        <w:t>b</w:t>
      </w:r>
      <w:r>
        <w:rPr>
          <w:rFonts w:hint="eastAsia"/>
        </w:rPr>
        <w:t>——节点核心区混凝土</w:t>
      </w:r>
      <w:r>
        <w:rPr>
          <w:rFonts w:hint="eastAsia" w:ascii="宋体" w:hAnsi="宋体"/>
          <w:szCs w:val="21"/>
        </w:rPr>
        <w:t>矩形截面的宽度；</w:t>
      </w:r>
    </w:p>
    <w:p>
      <w:pPr>
        <w:ind w:firstLine="630" w:firstLineChars="300"/>
        <w:rPr>
          <w:rFonts w:ascii="宋体" w:hAnsi="宋体"/>
          <w:szCs w:val="21"/>
        </w:rPr>
      </w:pPr>
      <w:r>
        <w:rPr>
          <w:rFonts w:cs="Times New Roman"/>
          <w:i/>
          <w:szCs w:val="21"/>
        </w:rPr>
        <w:t>h</w:t>
      </w:r>
      <w:r>
        <w:rPr>
          <w:rFonts w:hint="eastAsia"/>
        </w:rPr>
        <w:t>——节点核心区混凝土</w:t>
      </w:r>
      <w:r>
        <w:rPr>
          <w:rFonts w:hint="eastAsia" w:ascii="宋体" w:hAnsi="宋体"/>
          <w:szCs w:val="21"/>
        </w:rPr>
        <w:t>矩形截面的有效高度；</w:t>
      </w:r>
    </w:p>
    <w:bookmarkEnd w:id="132"/>
    <w:p>
      <w:pPr>
        <w:ind w:firstLine="630" w:firstLineChars="300"/>
        <w:rPr>
          <w:rFonts w:ascii="宋体" w:hAnsi="宋体"/>
          <w:szCs w:val="21"/>
        </w:rPr>
      </w:pPr>
      <w:r>
        <w:rPr>
          <w:rFonts w:cs="Times New Roman"/>
          <w:i/>
          <w:szCs w:val="21"/>
        </w:rPr>
        <w:t>f</w:t>
      </w:r>
      <w:r>
        <w:rPr>
          <w:rFonts w:cs="Times New Roman"/>
          <w:szCs w:val="21"/>
          <w:vertAlign w:val="subscript"/>
        </w:rPr>
        <w:t>yv</w:t>
      </w:r>
      <w:r>
        <w:rPr>
          <w:rFonts w:hint="eastAsia"/>
        </w:rPr>
        <w:t>——</w:t>
      </w:r>
      <w:r>
        <w:rPr>
          <w:rFonts w:hint="eastAsia" w:ascii="宋体" w:hAnsi="宋体"/>
          <w:szCs w:val="21"/>
        </w:rPr>
        <w:t>箍筋的抗拉强度设计值；</w:t>
      </w:r>
    </w:p>
    <w:p>
      <w:pPr>
        <w:ind w:firstLine="630" w:firstLineChars="300"/>
        <w:rPr>
          <w:rFonts w:ascii="宋体" w:hAnsi="宋体"/>
          <w:szCs w:val="21"/>
        </w:rPr>
      </w:pPr>
      <w:r>
        <w:rPr>
          <w:rFonts w:cs="Times New Roman"/>
          <w:i/>
          <w:szCs w:val="21"/>
        </w:rPr>
        <w:t>A</w:t>
      </w:r>
      <w:r>
        <w:rPr>
          <w:rFonts w:cs="Times New Roman"/>
          <w:szCs w:val="21"/>
          <w:vertAlign w:val="subscript"/>
        </w:rPr>
        <w:t>sv</w:t>
      </w:r>
      <w:r>
        <w:rPr>
          <w:rFonts w:hint="eastAsia"/>
        </w:rPr>
        <w:t>——</w:t>
      </w:r>
      <w:r>
        <w:rPr>
          <w:rFonts w:hint="eastAsia" w:ascii="宋体" w:hAnsi="宋体"/>
          <w:szCs w:val="21"/>
        </w:rPr>
        <w:t>配置在同一截面内箍筋各肢的全部截面面积；</w:t>
      </w:r>
    </w:p>
    <w:p>
      <w:pPr>
        <w:ind w:firstLine="630" w:firstLineChars="300"/>
        <w:rPr>
          <w:rFonts w:ascii="宋体" w:hAnsi="宋体"/>
          <w:szCs w:val="21"/>
        </w:rPr>
      </w:pPr>
      <w:r>
        <w:rPr>
          <w:rFonts w:cs="Times New Roman"/>
          <w:i/>
          <w:szCs w:val="21"/>
        </w:rPr>
        <w:t>s</w:t>
      </w:r>
      <w:r>
        <w:rPr>
          <w:rFonts w:hint="eastAsia"/>
        </w:rPr>
        <w:t>——</w:t>
      </w:r>
      <w:r>
        <w:rPr>
          <w:rFonts w:hint="eastAsia" w:ascii="宋体" w:hAnsi="宋体"/>
          <w:szCs w:val="21"/>
        </w:rPr>
        <w:t>节点内部箍筋的间距。</w:t>
      </w:r>
    </w:p>
    <w:p>
      <w:pPr>
        <w:pStyle w:val="5"/>
        <w:rPr>
          <w:lang w:val="zh-CN"/>
        </w:rPr>
      </w:pPr>
      <w:r>
        <w:rPr>
          <w:rFonts w:hint="eastAsia"/>
          <w:lang w:val="zh-CN"/>
        </w:rPr>
        <w:t>外包钢管的受剪承载力设计值按公式（</w:t>
      </w:r>
      <w:r>
        <w:rPr>
          <w:lang w:val="zh-CN"/>
        </w:rPr>
        <w:t>32</w:t>
      </w:r>
      <w:r>
        <w:rPr>
          <w:rFonts w:hint="eastAsia"/>
          <w:lang w:val="zh-CN"/>
        </w:rPr>
        <w:t>）计算：</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7"/>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ind w:firstLine="0" w:firstLineChars="0"/>
              <w:jc w:val="center"/>
              <w:rPr>
                <w:rFonts w:cs="Times New Roman"/>
                <w:kern w:val="0"/>
                <w:sz w:val="20"/>
                <w:szCs w:val="21"/>
              </w:rPr>
            </w:pPr>
            <w:r>
              <w:rPr>
                <w:rFonts w:ascii="宋体" w:hAnsi="宋体" w:cs="Times New Roman"/>
                <w:kern w:val="0"/>
                <w:position w:val="-10"/>
                <w:sz w:val="20"/>
                <w:szCs w:val="21"/>
              </w:rPr>
              <w:object>
                <v:shape id="_x0000_i1058" o:spt="75" type="#_x0000_t75" style="height:18.8pt;width:58.85pt;" o:ole="t" filled="f" o:preferrelative="t" stroked="f" coordsize="21600,21600">
                  <v:path/>
                  <v:fill on="f" focussize="0,0"/>
                  <v:stroke on="f" joinstyle="miter"/>
                  <v:imagedata r:id="rId95" o:title=""/>
                  <o:lock v:ext="edit" aspectratio="t"/>
                  <w10:wrap type="none"/>
                  <w10:anchorlock/>
                </v:shape>
                <o:OLEObject Type="Embed" ProgID="Equation.DSMT4" ShapeID="_x0000_i1058" DrawAspect="Content" ObjectID="_1468075758" r:id="rId94">
                  <o:LockedField>false</o:LockedField>
                </o:OLEObject>
              </w:object>
            </w:r>
          </w:p>
        </w:tc>
        <w:tc>
          <w:tcPr>
            <w:tcW w:w="1304" w:type="dxa"/>
            <w:vAlign w:val="center"/>
          </w:tcPr>
          <w:p>
            <w:pPr>
              <w:ind w:firstLine="0" w:firstLineChars="0"/>
              <w:jc w:val="center"/>
              <w:rPr>
                <w:rFonts w:cs="Times New Roman"/>
                <w:kern w:val="0"/>
                <w:sz w:val="20"/>
                <w:szCs w:val="21"/>
              </w:rPr>
            </w:pPr>
            <w:r>
              <w:rPr>
                <w:rFonts w:hint="eastAsia" w:cs="Times New Roman"/>
                <w:kern w:val="0"/>
                <w:sz w:val="20"/>
                <w:szCs w:val="21"/>
              </w:rPr>
              <w:t>（</w:t>
            </w:r>
            <w:r>
              <w:rPr>
                <w:rFonts w:cs="Times New Roman"/>
                <w:kern w:val="0"/>
                <w:sz w:val="20"/>
                <w:szCs w:val="21"/>
              </w:rPr>
              <w:t>32</w:t>
            </w:r>
            <w:r>
              <w:rPr>
                <w:rFonts w:hint="eastAsia" w:cs="Times New Roman"/>
                <w:kern w:val="0"/>
                <w:sz w:val="20"/>
                <w:szCs w:val="21"/>
              </w:rPr>
              <w:t>）</w:t>
            </w:r>
          </w:p>
        </w:tc>
      </w:tr>
    </w:tbl>
    <w:p>
      <w:pPr>
        <w:ind w:firstLine="0" w:firstLineChars="0"/>
        <w:rPr>
          <w:rFonts w:cs="Times New Roman"/>
          <w:szCs w:val="21"/>
        </w:rPr>
      </w:pPr>
      <w:r>
        <w:rPr>
          <w:rFonts w:hint="eastAsia" w:ascii="宋体" w:hAnsi="宋体"/>
          <w:szCs w:val="21"/>
        </w:rPr>
        <w:t>式中</w:t>
      </w:r>
      <w:r>
        <w:rPr>
          <w:rFonts w:ascii="宋体" w:hAnsi="宋体"/>
          <w:szCs w:val="21"/>
        </w:rPr>
        <w:t>：</w:t>
      </w:r>
      <w:r>
        <w:rPr>
          <w:rFonts w:cs="Times New Roman"/>
          <w:i/>
          <w:szCs w:val="21"/>
        </w:rPr>
        <w:t>A</w:t>
      </w:r>
      <w:r>
        <w:rPr>
          <w:rFonts w:cs="Times New Roman"/>
          <w:szCs w:val="21"/>
          <w:vertAlign w:val="subscript"/>
        </w:rPr>
        <w:t>n</w:t>
      </w:r>
      <w:r>
        <w:rPr>
          <w:rFonts w:hint="eastAsia"/>
        </w:rPr>
        <w:t>——</w:t>
      </w:r>
      <w:r>
        <w:rPr>
          <w:rFonts w:cs="Times New Roman"/>
          <w:szCs w:val="21"/>
        </w:rPr>
        <w:t>外包钢管受剪腹板的净截面面积，即腹板壁厚与柱高的乘积；</w:t>
      </w:r>
    </w:p>
    <w:p>
      <w:pPr>
        <w:ind w:firstLine="630" w:firstLineChars="300"/>
        <w:rPr>
          <w:rFonts w:cs="Times New Roman"/>
          <w:szCs w:val="21"/>
        </w:rPr>
      </w:pPr>
      <w:r>
        <w:rPr>
          <w:rFonts w:hint="eastAsia"/>
          <w:i/>
        </w:rPr>
        <w:t>f</w:t>
      </w:r>
      <w:r>
        <w:rPr>
          <w:vertAlign w:val="subscript"/>
        </w:rPr>
        <w:t>v</w:t>
      </w:r>
      <w:r>
        <w:rPr>
          <w:rFonts w:hint="eastAsia"/>
        </w:rPr>
        <w:t>——</w:t>
      </w:r>
      <w:r>
        <w:rPr>
          <w:rFonts w:cs="Times New Roman"/>
          <w:szCs w:val="21"/>
        </w:rPr>
        <w:t>钢材的抗剪强度设计值</w:t>
      </w:r>
      <w:r>
        <w:rPr>
          <w:rFonts w:hint="eastAsia" w:cs="Times New Roman"/>
          <w:szCs w:val="21"/>
        </w:rPr>
        <w:t>。</w:t>
      </w:r>
    </w:p>
    <w:p>
      <w:pPr>
        <w:ind w:firstLine="0" w:firstLineChars="0"/>
        <w:rPr>
          <w:rFonts w:cs="Times New Roman"/>
        </w:rPr>
      </w:pPr>
      <w:r>
        <w:rPr>
          <w:rFonts w:hint="eastAsia" w:cs="Times New Roman"/>
        </w:rPr>
        <w:t>RC-SB节点的外包钢管宽厚比应符合</w:t>
      </w:r>
      <w:r>
        <w:rPr>
          <w:rFonts w:hint="eastAsia"/>
        </w:rPr>
        <w:t>公式</w:t>
      </w:r>
      <w:r>
        <w:rPr>
          <w:rFonts w:hint="eastAsia"/>
          <w:lang w:val="zh-CN"/>
        </w:rPr>
        <w:t>（</w:t>
      </w:r>
      <w:r>
        <w:rPr>
          <w:lang w:val="zh-CN"/>
        </w:rPr>
        <w:t>33</w:t>
      </w:r>
      <w:r>
        <w:rPr>
          <w:rFonts w:hint="eastAsia"/>
          <w:lang w:val="zh-CN"/>
        </w:rPr>
        <w:t>）</w:t>
      </w:r>
      <w:r>
        <w:rPr>
          <w:rFonts w:hint="eastAsia" w:cs="Times New Roman"/>
        </w:rPr>
        <w:t>要求：</w:t>
      </w:r>
    </w:p>
    <w:tbl>
      <w:tblPr>
        <w:tblStyle w:val="34"/>
        <w:tblW w:w="9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7"/>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67" w:type="dxa"/>
            <w:vAlign w:val="center"/>
          </w:tcPr>
          <w:p>
            <w:pPr>
              <w:ind w:firstLine="0" w:firstLineChars="0"/>
              <w:jc w:val="center"/>
              <w:rPr>
                <w:rFonts w:cs="Times New Roman"/>
                <w:kern w:val="0"/>
                <w:sz w:val="20"/>
                <w:szCs w:val="20"/>
              </w:rPr>
            </w:pPr>
            <w:r>
              <w:rPr>
                <w:rFonts w:hint="eastAsia" w:cs="Times New Roman"/>
                <w:kern w:val="0"/>
                <w:sz w:val="20"/>
                <w:szCs w:val="20"/>
              </w:rPr>
              <w:object>
                <v:shape id="_x0000_i1059" o:spt="75" type="#_x0000_t75" style="height:24.4pt;width:101.45pt;" o:ole="t" filled="f" o:preferrelative="t" stroked="f" coordsize="21600,21600">
                  <v:path/>
                  <v:fill on="f" focussize="0,0"/>
                  <v:stroke on="f" joinstyle="miter"/>
                  <v:imagedata r:id="rId97" o:title=""/>
                  <o:lock v:ext="edit" aspectratio="t"/>
                  <w10:wrap type="none"/>
                  <w10:anchorlock/>
                </v:shape>
                <o:OLEObject Type="Embed" ProgID="Equation.DSMT4" ShapeID="_x0000_i1059" DrawAspect="Content" ObjectID="_1468075759" r:id="rId96">
                  <o:LockedField>false</o:LockedField>
                </o:OLEObject>
              </w:object>
            </w:r>
          </w:p>
        </w:tc>
        <w:tc>
          <w:tcPr>
            <w:tcW w:w="1304" w:type="dxa"/>
            <w:vAlign w:val="center"/>
          </w:tcPr>
          <w:p>
            <w:pPr>
              <w:ind w:firstLine="0" w:firstLineChars="0"/>
              <w:jc w:val="center"/>
              <w:rPr>
                <w:rFonts w:cs="Times New Roman"/>
                <w:kern w:val="0"/>
                <w:sz w:val="20"/>
                <w:szCs w:val="20"/>
              </w:rPr>
            </w:pPr>
            <w:r>
              <w:rPr>
                <w:rFonts w:hint="eastAsia" w:cs="Times New Roman"/>
                <w:kern w:val="0"/>
                <w:sz w:val="20"/>
                <w:szCs w:val="20"/>
              </w:rPr>
              <w:t>（</w:t>
            </w:r>
            <w:r>
              <w:rPr>
                <w:rFonts w:cs="Times New Roman"/>
                <w:kern w:val="0"/>
                <w:sz w:val="20"/>
                <w:szCs w:val="20"/>
              </w:rPr>
              <w:t>33</w:t>
            </w:r>
            <w:r>
              <w:rPr>
                <w:rFonts w:hint="eastAsia" w:cs="Times New Roman"/>
                <w:kern w:val="0"/>
                <w:sz w:val="20"/>
                <w:szCs w:val="20"/>
              </w:rPr>
              <w:t>）</w:t>
            </w:r>
          </w:p>
        </w:tc>
      </w:tr>
    </w:tbl>
    <w:p>
      <w:pPr>
        <w:ind w:firstLine="0" w:firstLineChars="0"/>
        <w:rPr>
          <w:rFonts w:cs="Times New Roman"/>
        </w:rPr>
      </w:pPr>
      <w:r>
        <w:rPr>
          <w:rFonts w:hint="eastAsia" w:cs="Times New Roman"/>
        </w:rPr>
        <w:t>式中：</w:t>
      </w:r>
      <w:r>
        <w:rPr>
          <w:rFonts w:hint="eastAsia" w:cs="Times New Roman"/>
          <w:i/>
          <w:iCs/>
        </w:rPr>
        <w:t>B</w:t>
      </w:r>
      <w:r>
        <w:rPr>
          <w:rFonts w:hint="eastAsia" w:cs="Times New Roman"/>
        </w:rPr>
        <w:t>——矩形截面长边；</w:t>
      </w:r>
    </w:p>
    <w:p>
      <w:pPr>
        <w:ind w:firstLine="630" w:firstLineChars="300"/>
        <w:rPr>
          <w:rFonts w:cs="Times New Roman"/>
        </w:rPr>
      </w:pPr>
      <w:r>
        <w:rPr>
          <w:rFonts w:hint="eastAsia" w:cs="Times New Roman"/>
          <w:i/>
          <w:iCs/>
        </w:rPr>
        <w:t>t</w:t>
      </w:r>
      <w:r>
        <w:rPr>
          <w:rFonts w:hint="eastAsia" w:cs="Times New Roman"/>
        </w:rPr>
        <w:t>——外包钢管壁厚；</w:t>
      </w:r>
    </w:p>
    <w:p>
      <w:pPr>
        <w:ind w:firstLine="630" w:firstLineChars="300"/>
        <w:rPr>
          <w:rFonts w:cs="Times New Roman"/>
        </w:rPr>
      </w:pPr>
      <w:r>
        <w:rPr>
          <w:rFonts w:hint="eastAsia" w:cs="Times New Roman"/>
          <w:i/>
        </w:rPr>
        <w:t>f</w:t>
      </w:r>
      <w:r>
        <w:rPr>
          <w:rFonts w:hint="eastAsia" w:cs="Times New Roman"/>
          <w:vertAlign w:val="subscript"/>
        </w:rPr>
        <w:t>y</w:t>
      </w:r>
      <w:r>
        <w:rPr>
          <w:rFonts w:hint="eastAsia" w:cs="Times New Roman"/>
        </w:rPr>
        <w:t>——钢材的屈服强度。</w:t>
      </w:r>
    </w:p>
    <w:p>
      <w:pPr>
        <w:pStyle w:val="3"/>
        <w:spacing w:before="120" w:after="120"/>
      </w:pPr>
      <w:bookmarkStart w:id="133" w:name="_Toc186641488"/>
      <w:r>
        <w:rPr>
          <w:rFonts w:hint="eastAsia"/>
        </w:rPr>
        <w:t>钢筋搭接与锚固</w:t>
      </w:r>
      <w:bookmarkEnd w:id="117"/>
      <w:bookmarkEnd w:id="133"/>
    </w:p>
    <w:p>
      <w:pPr>
        <w:pStyle w:val="4"/>
        <w:ind w:right="210"/>
      </w:pPr>
      <w:r>
        <w:t>CFRST-RB、</w:t>
      </w:r>
      <w:r>
        <w:rPr>
          <w:rFonts w:hint="eastAsia"/>
        </w:rPr>
        <w:t>C</w:t>
      </w:r>
      <w:r>
        <w:t>FCST-RB结构框架梁的纵向钢筋在钢管柱内的锚固和搭接应符合下列要求</w:t>
      </w:r>
      <w:r>
        <w:rPr>
          <w:rFonts w:hint="eastAsia"/>
        </w:rPr>
        <w:t>：</w:t>
      </w:r>
    </w:p>
    <w:p>
      <w:pPr>
        <w:numPr>
          <w:ilvl w:val="0"/>
          <w:numId w:val="26"/>
        </w:numPr>
        <w:ind w:left="0" w:firstLine="420"/>
        <w:rPr>
          <w:lang w:val="zh-CN"/>
        </w:rPr>
      </w:pPr>
      <w:r>
        <w:rPr>
          <w:rFonts w:hint="eastAsia"/>
          <w:lang w:val="zh-CN"/>
        </w:rPr>
        <w:t>框架中间层中间节点处，框架梁的上部纵向钢筋应贯穿中间节点。贯穿中柱的每根梁纵向钢筋直径，对于一级抗震等级的框架结构，不宜大于柱在该方向截面尺寸的1/25；对一、二、三级抗震等级，不宜大于柱在该方向截面尺寸的1/20。</w:t>
      </w:r>
    </w:p>
    <w:p>
      <w:pPr>
        <w:numPr>
          <w:ilvl w:val="0"/>
          <w:numId w:val="26"/>
        </w:numPr>
        <w:ind w:left="0" w:firstLine="420"/>
        <w:rPr>
          <w:lang w:val="zh-CN"/>
        </w:rPr>
      </w:pPr>
      <w:r>
        <w:rPr>
          <w:rFonts w:hint="eastAsia"/>
          <w:lang w:val="zh-CN"/>
        </w:rPr>
        <w:t>对于框架中间层中间节点、中间层端节点、顶层中间节点以及顶层端节点，梁纵向钢筋钢管柱内的锚固和搭接，应符合图</w:t>
      </w:r>
      <w:r>
        <w:rPr>
          <w:rFonts w:hint="eastAsia"/>
        </w:rPr>
        <w:t>11</w:t>
      </w:r>
      <w:r>
        <w:rPr>
          <w:rFonts w:hint="eastAsia"/>
          <w:lang w:val="zh-CN"/>
        </w:rPr>
        <w:t>的相关构造规定。图中的</w:t>
      </w:r>
      <w:r>
        <w:rPr>
          <w:rFonts w:hint="eastAsia"/>
          <w:i/>
          <w:lang w:val="zh-CN"/>
        </w:rPr>
        <w:t>l</w:t>
      </w:r>
      <w:r>
        <w:rPr>
          <w:rFonts w:hint="eastAsia"/>
          <w:iCs/>
          <w:vertAlign w:val="subscript"/>
          <w:lang w:val="zh-CN"/>
        </w:rPr>
        <w:t>abE</w:t>
      </w:r>
      <w:r>
        <w:rPr>
          <w:rFonts w:hint="eastAsia"/>
          <w:lang w:val="zh-CN"/>
        </w:rPr>
        <w:t>按</w:t>
      </w:r>
      <w:r>
        <w:rPr>
          <w:rFonts w:hint="eastAsia"/>
        </w:rPr>
        <w:t>现行国家标准</w:t>
      </w:r>
      <w:r>
        <w:rPr>
          <w:rFonts w:hint="eastAsia"/>
          <w:lang w:val="zh-CN"/>
        </w:rPr>
        <w:t>GB</w:t>
      </w:r>
      <w:r>
        <w:rPr>
          <w:lang w:val="zh-CN"/>
        </w:rPr>
        <w:t xml:space="preserve">/T </w:t>
      </w:r>
      <w:r>
        <w:rPr>
          <w:rFonts w:hint="eastAsia"/>
          <w:lang w:val="zh-CN"/>
        </w:rPr>
        <w:t>50010的规定计算。</w:t>
      </w:r>
    </w:p>
    <w:p>
      <w:pPr>
        <w:numPr>
          <w:ilvl w:val="0"/>
          <w:numId w:val="26"/>
        </w:numPr>
        <w:ind w:left="0" w:firstLine="420"/>
        <w:jc w:val="left"/>
      </w:pPr>
      <w:r>
        <w:rPr>
          <w:rFonts w:hint="eastAsia"/>
          <w:lang w:val="zh-CN"/>
        </w:rPr>
        <w:t>当梁</w:t>
      </w:r>
      <w:r>
        <w:rPr>
          <w:rFonts w:hint="eastAsia"/>
        </w:rPr>
        <w:t>纵筋</w:t>
      </w:r>
      <w:r>
        <w:rPr>
          <w:rFonts w:hint="eastAsia"/>
          <w:lang w:val="zh-CN"/>
        </w:rPr>
        <w:t>锚固</w:t>
      </w:r>
      <w:r>
        <w:rPr>
          <w:rFonts w:hint="eastAsia"/>
        </w:rPr>
        <w:t>段的水平投影长度不满足上述要求时，可将梁伸出形成梁头，梁的纵向钢筋深入梁头后弯折锚固。</w:t>
      </w:r>
    </w:p>
    <w:p>
      <w:pPr>
        <w:tabs>
          <w:tab w:val="left" w:pos="420"/>
        </w:tabs>
        <w:ind w:left="420" w:firstLine="0" w:firstLineChars="0"/>
        <w:jc w:val="center"/>
      </w:pPr>
      <w:r>
        <w:drawing>
          <wp:inline distT="0" distB="0" distL="0" distR="0">
            <wp:extent cx="3925570" cy="1594485"/>
            <wp:effectExtent l="0" t="0" r="0" b="5715"/>
            <wp:docPr id="14" name="图片 14" descr="C:\Users\luokui\AppData\Local\Temp\DingtalkPic\78828DEE-F34E-4a48-B3D5-C55DD766CC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luokui\AppData\Local\Temp\DingtalkPic\78828DEE-F34E-4a48-B3D5-C55DD766CCCB.png"/>
                    <pic:cNvPicPr>
                      <a:picLocks noChangeAspect="true" noChangeArrowheads="true"/>
                    </pic:cNvPicPr>
                  </pic:nvPicPr>
                  <pic:blipFill>
                    <a:blip r:embed="rId98" cstate="print">
                      <a:extLst>
                        <a:ext uri="{28A0092B-C50C-407E-A947-70E740481C1C}">
                          <a14:useLocalDpi xmlns:a14="http://schemas.microsoft.com/office/drawing/2010/main" val="false"/>
                        </a:ext>
                      </a:extLst>
                    </a:blip>
                    <a:srcRect/>
                    <a:stretch>
                      <a:fillRect/>
                    </a:stretch>
                  </pic:blipFill>
                  <pic:spPr>
                    <a:xfrm>
                      <a:off x="0" y="0"/>
                      <a:ext cx="3958262" cy="1608019"/>
                    </a:xfrm>
                    <a:prstGeom prst="rect">
                      <a:avLst/>
                    </a:prstGeom>
                    <a:noFill/>
                    <a:ln>
                      <a:noFill/>
                    </a:ln>
                  </pic:spPr>
                </pic:pic>
              </a:graphicData>
            </a:graphic>
          </wp:inline>
        </w:drawing>
      </w:r>
    </w:p>
    <w:p>
      <w:pPr>
        <w:tabs>
          <w:tab w:val="left" w:pos="312"/>
        </w:tabs>
        <w:ind w:left="1260" w:firstLine="0" w:firstLineChars="0"/>
      </w:pPr>
      <w:r>
        <w:rPr>
          <w:rFonts w:hint="eastAsia" w:ascii="宋体" w:hAnsi="宋体"/>
          <w:bCs/>
          <w:color w:val="000000"/>
          <w:spacing w:val="-3"/>
          <w:kern w:val="32"/>
          <w:szCs w:val="28"/>
        </w:rPr>
        <w:t>a)</w:t>
      </w:r>
      <w:r>
        <w:rPr>
          <w:rFonts w:ascii="宋体" w:hAnsi="宋体"/>
          <w:bCs/>
          <w:color w:val="000000"/>
          <w:spacing w:val="-3"/>
          <w:kern w:val="32"/>
          <w:szCs w:val="28"/>
        </w:rPr>
        <w:t xml:space="preserve"> </w:t>
      </w:r>
      <w:r>
        <w:t>中间层端节点梁筋</w:t>
      </w:r>
      <w:r>
        <w:rPr>
          <w:rFonts w:hint="eastAsia"/>
        </w:rPr>
        <w:t>9</w:t>
      </w:r>
      <w:r>
        <w:t>0</w:t>
      </w:r>
      <w:r>
        <w:rPr>
          <w:vertAlign w:val="superscript"/>
        </w:rPr>
        <w:t>0</w:t>
      </w:r>
      <w:r>
        <w:t>弯</w:t>
      </w:r>
      <w:r>
        <w:rPr>
          <w:rFonts w:hint="eastAsia"/>
        </w:rPr>
        <w:t>折</w:t>
      </w:r>
      <w:r>
        <w:t>锚固</w:t>
      </w:r>
      <w:r>
        <w:rPr>
          <w:rFonts w:hint="eastAsia"/>
        </w:rPr>
        <w:t xml:space="preserve"> </w:t>
      </w:r>
      <w:r>
        <w:t xml:space="preserve">   b)</w:t>
      </w:r>
      <w:r>
        <w:rPr>
          <w:rFonts w:ascii="宋体" w:hAnsi="宋体"/>
          <w:bCs/>
          <w:color w:val="000000"/>
          <w:spacing w:val="-3"/>
          <w:kern w:val="32"/>
          <w:szCs w:val="28"/>
        </w:rPr>
        <w:t xml:space="preserve"> </w:t>
      </w:r>
      <w:r>
        <w:t>中间层端节点梁筋</w:t>
      </w:r>
      <w:r>
        <w:rPr>
          <w:rFonts w:hint="eastAsia"/>
        </w:rPr>
        <w:t>贴焊锚筋</w:t>
      </w:r>
      <w:r>
        <w:t>锚固</w:t>
      </w:r>
    </w:p>
    <w:p>
      <w:pPr>
        <w:ind w:firstLine="420"/>
        <w:jc w:val="center"/>
      </w:pPr>
      <w:r>
        <w:drawing>
          <wp:inline distT="0" distB="0" distL="0" distR="0">
            <wp:extent cx="3891280" cy="1814830"/>
            <wp:effectExtent l="0" t="0" r="0" b="0"/>
            <wp:docPr id="15" name="图片 15" descr="C:\Users\luokui\AppData\Local\Temp\DingtalkPic\79AAF591-CC48-4657-B129-15DD30E553F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C:\Users\luokui\AppData\Local\Temp\DingtalkPic\79AAF591-CC48-4657-B129-15DD30E553F4.png"/>
                    <pic:cNvPicPr>
                      <a:picLocks noChangeAspect="true" noChangeArrowheads="true"/>
                    </pic:cNvPicPr>
                  </pic:nvPicPr>
                  <pic:blipFill>
                    <a:blip r:embed="rId99" cstate="print">
                      <a:extLst>
                        <a:ext uri="{28A0092B-C50C-407E-A947-70E740481C1C}">
                          <a14:useLocalDpi xmlns:a14="http://schemas.microsoft.com/office/drawing/2010/main" val="false"/>
                        </a:ext>
                      </a:extLst>
                    </a:blip>
                    <a:srcRect/>
                    <a:stretch>
                      <a:fillRect/>
                    </a:stretch>
                  </pic:blipFill>
                  <pic:spPr>
                    <a:xfrm>
                      <a:off x="0" y="0"/>
                      <a:ext cx="3911903" cy="1824534"/>
                    </a:xfrm>
                    <a:prstGeom prst="rect">
                      <a:avLst/>
                    </a:prstGeom>
                    <a:noFill/>
                    <a:ln>
                      <a:noFill/>
                    </a:ln>
                  </pic:spPr>
                </pic:pic>
              </a:graphicData>
            </a:graphic>
          </wp:inline>
        </w:drawing>
      </w:r>
    </w:p>
    <w:p>
      <w:pPr>
        <w:ind w:firstLine="1260" w:firstLineChars="600"/>
      </w:pPr>
      <w:r>
        <w:rPr>
          <w:rFonts w:hint="eastAsia"/>
        </w:rPr>
        <w:t>c</w:t>
      </w:r>
      <w:r>
        <w:t>)</w:t>
      </w:r>
      <w:r>
        <w:rPr>
          <w:rFonts w:ascii="宋体" w:hAnsi="宋体"/>
          <w:bCs/>
          <w:color w:val="000000"/>
          <w:spacing w:val="-3"/>
          <w:kern w:val="32"/>
          <w:szCs w:val="28"/>
        </w:rPr>
        <w:t xml:space="preserve"> </w:t>
      </w:r>
      <w:r>
        <w:t>中间层端节点梁筋锚头锚固</w:t>
      </w:r>
      <w:r>
        <w:rPr>
          <w:rFonts w:hint="eastAsia"/>
        </w:rPr>
        <w:t xml:space="preserve"> </w:t>
      </w:r>
      <w:r>
        <w:t xml:space="preserve">     </w:t>
      </w:r>
      <w:r>
        <w:rPr>
          <w:rFonts w:hint="eastAsia"/>
        </w:rPr>
        <w:t>d</w:t>
      </w:r>
      <w:r>
        <w:t>)</w:t>
      </w:r>
      <w:r>
        <w:rPr>
          <w:rFonts w:ascii="宋体" w:hAnsi="宋体"/>
          <w:bCs/>
          <w:color w:val="000000"/>
          <w:spacing w:val="-3"/>
          <w:kern w:val="32"/>
          <w:szCs w:val="28"/>
        </w:rPr>
        <w:t xml:space="preserve"> </w:t>
      </w:r>
      <w:r>
        <w:t>中间层</w:t>
      </w:r>
      <w:r>
        <w:rPr>
          <w:rFonts w:hint="eastAsia"/>
        </w:rPr>
        <w:t>中间</w:t>
      </w:r>
      <w:r>
        <w:t>节点梁筋</w:t>
      </w:r>
      <w:r>
        <w:rPr>
          <w:rFonts w:hint="eastAsia"/>
        </w:rPr>
        <w:t>在节点内直锚固</w:t>
      </w:r>
    </w:p>
    <w:p>
      <w:pPr>
        <w:ind w:firstLine="420"/>
        <w:jc w:val="center"/>
      </w:pPr>
      <w:r>
        <w:rPr>
          <w:rFonts w:hint="eastAsia"/>
        </w:rPr>
        <w:drawing>
          <wp:inline distT="0" distB="0" distL="0" distR="0">
            <wp:extent cx="2312670" cy="177673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100" cstate="print">
                      <a:extLst>
                        <a:ext uri="{28A0092B-C50C-407E-A947-70E740481C1C}">
                          <a14:useLocalDpi xmlns:a14="http://schemas.microsoft.com/office/drawing/2010/main" val="false"/>
                        </a:ext>
                      </a:extLst>
                    </a:blip>
                    <a:stretch>
                      <a:fillRect/>
                    </a:stretch>
                  </pic:blipFill>
                  <pic:spPr>
                    <a:xfrm>
                      <a:off x="0" y="0"/>
                      <a:ext cx="2356575" cy="1810699"/>
                    </a:xfrm>
                    <a:prstGeom prst="rect">
                      <a:avLst/>
                    </a:prstGeom>
                  </pic:spPr>
                </pic:pic>
              </a:graphicData>
            </a:graphic>
          </wp:inline>
        </w:drawing>
      </w:r>
    </w:p>
    <w:p>
      <w:pPr>
        <w:ind w:firstLine="3360" w:firstLineChars="1600"/>
      </w:pPr>
      <w:r>
        <w:rPr>
          <w:rFonts w:hint="eastAsia"/>
        </w:rPr>
        <w:t>e</w:t>
      </w:r>
      <w:r>
        <w:t>)</w:t>
      </w:r>
      <w:r>
        <w:rPr>
          <w:rFonts w:ascii="宋体" w:hAnsi="宋体"/>
          <w:bCs/>
          <w:color w:val="000000"/>
          <w:spacing w:val="-3"/>
          <w:kern w:val="32"/>
          <w:szCs w:val="28"/>
        </w:rPr>
        <w:t xml:space="preserve"> </w:t>
      </w:r>
      <w:r>
        <w:t>中间层端节点梁筋</w:t>
      </w:r>
      <w:r>
        <w:rPr>
          <w:rFonts w:hint="eastAsia"/>
        </w:rPr>
        <w:t>在节点外</w:t>
      </w:r>
      <w:r>
        <w:t>锚固</w:t>
      </w:r>
    </w:p>
    <w:p>
      <w:pPr>
        <w:spacing w:line="400" w:lineRule="exact"/>
        <w:ind w:firstLine="199" w:firstLineChars="95"/>
        <w:jc w:val="center"/>
        <w:rPr>
          <w:rFonts w:ascii="黑体" w:hAnsi="黑体" w:eastAsia="黑体"/>
        </w:rPr>
      </w:pPr>
      <w:r>
        <w:rPr>
          <w:rFonts w:ascii="黑体" w:hAnsi="黑体" w:eastAsia="黑体"/>
        </w:rPr>
        <w:t>图</w:t>
      </w:r>
      <w:r>
        <w:rPr>
          <w:rFonts w:hint="eastAsia" w:ascii="黑体" w:hAnsi="黑体" w:eastAsia="黑体"/>
        </w:rPr>
        <w:t>11</w:t>
      </w:r>
      <w:r>
        <w:rPr>
          <w:rFonts w:hint="eastAsia" w:ascii="黑体" w:hAnsi="黑体" w:eastAsia="黑体" w:cs="黑体"/>
        </w:rPr>
        <w:t>　</w:t>
      </w:r>
      <w:r>
        <w:rPr>
          <w:rFonts w:ascii="黑体" w:hAnsi="黑体" w:eastAsia="黑体"/>
        </w:rPr>
        <w:t>梁</w:t>
      </w:r>
      <w:r>
        <w:rPr>
          <w:rFonts w:hint="eastAsia" w:ascii="黑体" w:hAnsi="黑体" w:eastAsia="黑体"/>
        </w:rPr>
        <w:t>纵</w:t>
      </w:r>
      <w:r>
        <w:rPr>
          <w:rFonts w:ascii="黑体" w:hAnsi="黑体" w:eastAsia="黑体"/>
        </w:rPr>
        <w:t>筋在节点的搭接与锚固</w:t>
      </w:r>
    </w:p>
    <w:p>
      <w:pPr>
        <w:pStyle w:val="4"/>
        <w:ind w:right="210"/>
      </w:pPr>
      <w:bookmarkStart w:id="134" w:name="_Toc15029"/>
      <w:r>
        <w:t>RC</w:t>
      </w:r>
      <w:r>
        <w:rPr>
          <w:rFonts w:hint="eastAsia"/>
        </w:rPr>
        <w:t>-</w:t>
      </w:r>
      <w:r>
        <w:t>S</w:t>
      </w:r>
      <w:r>
        <w:rPr>
          <w:rFonts w:hint="eastAsia"/>
        </w:rPr>
        <w:t>B</w:t>
      </w:r>
      <w:r>
        <w:rPr>
          <w:rFonts w:hint="eastAsia" w:ascii="宋体" w:hAnsi="宋体" w:cs="宋体"/>
          <w:kern w:val="0"/>
          <w:szCs w:val="21"/>
          <w:lang w:bidi="ar"/>
        </w:rPr>
        <w:t>结构</w:t>
      </w:r>
      <w:r>
        <w:t>框架柱的纵向钢筋的锚固和</w:t>
      </w:r>
      <w:r>
        <w:rPr>
          <w:rFonts w:hint="eastAsia"/>
        </w:rPr>
        <w:t>连接</w:t>
      </w:r>
      <w:r>
        <w:t>应符合下列要求</w:t>
      </w:r>
      <w:r>
        <w:rPr>
          <w:rFonts w:hint="eastAsia"/>
        </w:rPr>
        <w:t>：</w:t>
      </w:r>
    </w:p>
    <w:p>
      <w:pPr>
        <w:pStyle w:val="75"/>
        <w:numPr>
          <w:ilvl w:val="0"/>
          <w:numId w:val="27"/>
        </w:numPr>
        <w:rPr>
          <w:lang w:val="zh-CN"/>
        </w:rPr>
      </w:pPr>
      <w:r>
        <w:t>纵向钢筋的锚固</w:t>
      </w:r>
      <w:r>
        <w:rPr>
          <w:rFonts w:hint="eastAsia"/>
          <w:lang w:val="zh-CN"/>
        </w:rPr>
        <w:t>同</w:t>
      </w:r>
      <w:r>
        <w:rPr>
          <w:rFonts w:hint="eastAsia"/>
        </w:rPr>
        <w:t>普通现浇钢筋</w:t>
      </w:r>
      <w:r>
        <w:rPr>
          <w:rFonts w:hint="eastAsia"/>
          <w:lang w:val="zh-CN"/>
        </w:rPr>
        <w:t>混凝土框架柱</w:t>
      </w:r>
      <w:r>
        <w:rPr>
          <w:rFonts w:hint="eastAsia"/>
        </w:rPr>
        <w:t>的构造</w:t>
      </w:r>
      <w:r>
        <w:rPr>
          <w:rFonts w:hint="eastAsia"/>
          <w:lang w:val="zh-CN"/>
        </w:rPr>
        <w:t>做法。</w:t>
      </w:r>
    </w:p>
    <w:p>
      <w:pPr>
        <w:pStyle w:val="75"/>
        <w:numPr>
          <w:ilvl w:val="0"/>
          <w:numId w:val="27"/>
        </w:numPr>
      </w:pPr>
      <w:r>
        <w:t>纵向钢筋的</w:t>
      </w:r>
      <w:r>
        <w:rPr>
          <w:rFonts w:hint="eastAsia"/>
        </w:rPr>
        <w:t>连接可优先采用机械连接。</w:t>
      </w:r>
    </w:p>
    <w:p>
      <w:pPr>
        <w:pStyle w:val="75"/>
        <w:numPr>
          <w:ilvl w:val="0"/>
          <w:numId w:val="27"/>
        </w:numPr>
      </w:pPr>
      <w:r>
        <w:rPr>
          <w:rFonts w:hint="eastAsia"/>
        </w:rPr>
        <w:t>在</w:t>
      </w:r>
      <w:r>
        <w:t>梁柱节点处</w:t>
      </w:r>
      <w:r>
        <w:rPr>
          <w:rFonts w:hint="eastAsia"/>
        </w:rPr>
        <w:t>，当</w:t>
      </w:r>
      <w:r>
        <w:t>上下层框架柱</w:t>
      </w:r>
      <w:r>
        <w:rPr>
          <w:rFonts w:hint="eastAsia"/>
        </w:rPr>
        <w:t>的</w:t>
      </w:r>
      <w:r>
        <w:t>截面大小相同时</w:t>
      </w:r>
      <w:r>
        <w:rPr>
          <w:rFonts w:hint="eastAsia"/>
        </w:rPr>
        <w:t>，其纵向钢筋锚固及连接同普通现浇钢筋混</w:t>
      </w:r>
    </w:p>
    <w:p>
      <w:pPr>
        <w:ind w:firstLine="0" w:firstLineChars="0"/>
      </w:pPr>
      <w:r>
        <w:rPr>
          <w:rFonts w:hint="eastAsia"/>
        </w:rPr>
        <w:t>凝土框架柱的构造做法。</w:t>
      </w:r>
    </w:p>
    <w:p>
      <w:pPr>
        <w:pStyle w:val="75"/>
        <w:numPr>
          <w:ilvl w:val="0"/>
          <w:numId w:val="27"/>
        </w:numPr>
      </w:pPr>
      <w:r>
        <w:rPr>
          <w:rFonts w:hint="eastAsia"/>
        </w:rPr>
        <w:t>在</w:t>
      </w:r>
      <w:r>
        <w:t>梁柱节点处</w:t>
      </w:r>
      <w:r>
        <w:rPr>
          <w:rFonts w:hint="eastAsia"/>
        </w:rPr>
        <w:t>，当上下层框架柱的截面大小不同时，下层框架柱的纵向钢筋伸至梁柱节点上部</w:t>
      </w:r>
    </w:p>
    <w:p>
      <w:pPr>
        <w:ind w:firstLine="0" w:firstLineChars="0"/>
      </w:pPr>
      <w:r>
        <w:rPr>
          <w:rFonts w:hint="eastAsia"/>
        </w:rPr>
        <w:t>水平加劲肋以上50mm处，宜采用机械锚固方式进行锚固处理；上层框架柱的纵向钢筋穿过上部水平加劲肋的钢筋孔插入1.2laE的锚固长度进行搭接处理。</w:t>
      </w:r>
    </w:p>
    <w:p>
      <w:pPr>
        <w:pStyle w:val="3"/>
        <w:keepNext w:val="0"/>
        <w:keepLines w:val="0"/>
        <w:spacing w:before="120" w:after="120"/>
      </w:pPr>
      <w:bookmarkStart w:id="135" w:name="_Toc186641489"/>
      <w:r>
        <w:rPr>
          <w:rFonts w:hint="eastAsia"/>
        </w:rPr>
        <w:t>钢管柱脚设计</w:t>
      </w:r>
      <w:bookmarkEnd w:id="134"/>
      <w:bookmarkEnd w:id="135"/>
    </w:p>
    <w:p>
      <w:pPr>
        <w:pStyle w:val="4"/>
        <w:keepNext w:val="0"/>
        <w:keepLines w:val="0"/>
        <w:ind w:right="210"/>
        <w:rPr>
          <w:lang w:val="zh-CN"/>
        </w:rPr>
      </w:pPr>
      <w:r>
        <w:rPr>
          <w:rFonts w:hint="eastAsia"/>
          <w:lang w:val="zh-CN"/>
        </w:rPr>
        <w:t>矩形和圆形钢管混凝土柱可根据不同的受力特点采用埋入式柱脚或非埋入式柱脚。多层及高层建筑无地下室时，钢管混凝土柱应采用埋入式柱脚；当设置地下室且钢管混凝土柱伸至少二层时，宜采用埋入式柱脚，也可采用非埋入式柱脚。</w:t>
      </w:r>
    </w:p>
    <w:p>
      <w:pPr>
        <w:pStyle w:val="4"/>
        <w:keepNext w:val="0"/>
        <w:keepLines w:val="0"/>
        <w:ind w:right="210"/>
        <w:rPr>
          <w:lang w:val="zh-CN"/>
        </w:rPr>
      </w:pPr>
      <w:r>
        <w:rPr>
          <w:rFonts w:hint="eastAsia"/>
          <w:lang w:val="zh-CN"/>
        </w:rPr>
        <w:t>钢管混凝土偏心受压柱，在柱轴向压力作用下，基础底板的局部受压承载力、受冲切承载力应分别符合</w:t>
      </w:r>
      <w:r>
        <w:rPr>
          <w:rFonts w:hint="eastAsia"/>
        </w:rPr>
        <w:t>现行国家标准</w:t>
      </w:r>
      <w:r>
        <w:rPr>
          <w:rFonts w:hint="eastAsia"/>
          <w:lang w:val="zh-CN"/>
        </w:rPr>
        <w:t>GB</w:t>
      </w:r>
      <w:r>
        <w:rPr>
          <w:rFonts w:hint="eastAsia"/>
        </w:rPr>
        <w:t xml:space="preserve">/T </w:t>
      </w:r>
      <w:r>
        <w:rPr>
          <w:rFonts w:hint="eastAsia"/>
          <w:lang w:val="zh-CN"/>
        </w:rPr>
        <w:t>50010中有关局部受压承载力和冲切承载力计算的规定。</w:t>
      </w:r>
    </w:p>
    <w:p>
      <w:pPr>
        <w:pStyle w:val="4"/>
        <w:keepNext w:val="0"/>
        <w:keepLines w:val="0"/>
        <w:ind w:right="210"/>
        <w:rPr>
          <w:lang w:val="zh-CN"/>
        </w:rPr>
      </w:pPr>
      <w:r>
        <w:rPr>
          <w:rFonts w:hint="eastAsia"/>
          <w:lang w:val="zh-CN"/>
        </w:rPr>
        <w:t>矩形钢管混凝土偏心受压柱，其埋入式柱脚的埋置深度应符合</w:t>
      </w:r>
      <w:r>
        <w:rPr>
          <w:rFonts w:hint="eastAsia"/>
        </w:rPr>
        <w:t>公式</w:t>
      </w:r>
      <w:r>
        <w:rPr>
          <w:rFonts w:hint="eastAsia"/>
          <w:lang w:val="zh-CN"/>
        </w:rPr>
        <w:t>（</w:t>
      </w:r>
      <w:r>
        <w:rPr>
          <w:lang w:val="zh-CN"/>
        </w:rPr>
        <w:t>34</w:t>
      </w:r>
      <w:r>
        <w:rPr>
          <w:rFonts w:hint="eastAsia"/>
          <w:lang w:val="zh-CN"/>
        </w:rPr>
        <w:t>）规定：</w:t>
      </w:r>
    </w:p>
    <w:p>
      <w:pPr>
        <w:spacing w:line="240" w:lineRule="auto"/>
        <w:ind w:firstLine="480"/>
        <w:jc w:val="right"/>
      </w:pPr>
      <w:r>
        <w:rPr>
          <w:position w:val="-32"/>
          <w:sz w:val="24"/>
        </w:rPr>
        <w:object>
          <v:shape id="_x0000_i1060" o:spt="75" type="#_x0000_t75" style="height:37.55pt;width:67.6pt;" o:ole="t" filled="f" o:preferrelative="t" stroked="f" coordsize="21600,21600">
            <v:path/>
            <v:fill on="f" focussize="0,0"/>
            <v:stroke on="f" joinstyle="miter"/>
            <v:imagedata r:id="rId102" o:title=""/>
            <o:lock v:ext="edit" aspectratio="t"/>
            <w10:wrap type="none"/>
            <w10:anchorlock/>
          </v:shape>
          <o:OLEObject Type="Embed" ProgID="Equation.DSMT4" ShapeID="_x0000_i1060" DrawAspect="Content" ObjectID="_1468075760" r:id="rId101">
            <o:LockedField>false</o:LockedField>
          </o:OLEObject>
        </w:object>
      </w:r>
      <w:r>
        <w:rPr>
          <w:rFonts w:hint="eastAsia"/>
        </w:rPr>
        <w:t xml:space="preserve">                                     (</w:t>
      </w:r>
      <w:r>
        <w:t>34</w:t>
      </w:r>
      <w:r>
        <w:rPr>
          <w:rFonts w:hint="eastAsia"/>
        </w:rPr>
        <w:t>)</w:t>
      </w:r>
    </w:p>
    <w:p>
      <w:pPr>
        <w:spacing w:line="360" w:lineRule="exact"/>
        <w:ind w:firstLine="420"/>
        <w:jc w:val="left"/>
        <w:rPr>
          <w:rFonts w:cs="Times New Roman"/>
        </w:rPr>
      </w:pPr>
      <w:r>
        <w:rPr>
          <w:rFonts w:hint="eastAsia"/>
        </w:rPr>
        <w:t>式中：</w:t>
      </w:r>
      <w:r>
        <w:rPr>
          <w:rFonts w:hint="eastAsia"/>
          <w:i/>
          <w:iCs/>
        </w:rPr>
        <w:t>h</w:t>
      </w:r>
      <w:r>
        <w:rPr>
          <w:rFonts w:hint="eastAsia"/>
          <w:vertAlign w:val="subscript"/>
        </w:rPr>
        <w:t xml:space="preserve">B </w:t>
      </w:r>
      <w:r>
        <w:rPr>
          <w:rFonts w:cs="Times New Roman"/>
        </w:rPr>
        <w:t>———</w:t>
      </w:r>
      <w:r>
        <w:rPr>
          <w:rFonts w:hint="eastAsia" w:cs="Times New Roman"/>
        </w:rPr>
        <w:t>矩形钢管混凝土柱埋置深度；</w:t>
      </w:r>
    </w:p>
    <w:p>
      <w:pPr>
        <w:spacing w:line="360" w:lineRule="exact"/>
        <w:ind w:firstLine="1058" w:firstLineChars="504"/>
        <w:jc w:val="left"/>
        <w:rPr>
          <w:rFonts w:cs="Times New Roman"/>
        </w:rPr>
      </w:pPr>
      <w:r>
        <w:rPr>
          <w:rFonts w:hint="eastAsia" w:cs="Times New Roman"/>
          <w:i/>
          <w:iCs/>
        </w:rPr>
        <w:t>M</w:t>
      </w:r>
      <w:r>
        <w:rPr>
          <w:rFonts w:cs="Times New Roman"/>
        </w:rPr>
        <w:t>———</w:t>
      </w:r>
      <w:r>
        <w:rPr>
          <w:rFonts w:hint="eastAsia" w:cs="Times New Roman"/>
        </w:rPr>
        <w:t>埋入式柱脚弯矩设计值；</w:t>
      </w:r>
    </w:p>
    <w:p>
      <w:pPr>
        <w:spacing w:line="360" w:lineRule="exact"/>
        <w:ind w:firstLine="1058" w:firstLineChars="504"/>
        <w:jc w:val="left"/>
        <w:rPr>
          <w:rFonts w:cs="Times New Roman"/>
        </w:rPr>
      </w:pPr>
      <w:r>
        <w:rPr>
          <w:rFonts w:hint="eastAsia" w:cs="Times New Roman"/>
          <w:i/>
          <w:iCs/>
        </w:rPr>
        <w:t>f</w:t>
      </w:r>
      <w:r>
        <w:rPr>
          <w:rFonts w:hint="eastAsia" w:cs="Times New Roman"/>
          <w:vertAlign w:val="subscript"/>
        </w:rPr>
        <w:t>c</w:t>
      </w:r>
      <w:r>
        <w:rPr>
          <w:rFonts w:cs="Times New Roman"/>
        </w:rPr>
        <w:t>———</w:t>
      </w:r>
      <w:r>
        <w:rPr>
          <w:rFonts w:hint="eastAsia" w:cs="Times New Roman"/>
        </w:rPr>
        <w:t>基础底板混凝土轴心抗压强度设计值；</w:t>
      </w:r>
    </w:p>
    <w:p>
      <w:pPr>
        <w:spacing w:line="360" w:lineRule="exact"/>
        <w:ind w:firstLine="1058" w:firstLineChars="504"/>
        <w:jc w:val="left"/>
        <w:rPr>
          <w:rFonts w:cs="Times New Roman"/>
        </w:rPr>
      </w:pPr>
      <w:r>
        <w:rPr>
          <w:rFonts w:hint="eastAsia" w:cs="Times New Roman"/>
          <w:i/>
          <w:iCs/>
        </w:rPr>
        <w:t>b</w:t>
      </w:r>
      <w:r>
        <w:rPr>
          <w:rFonts w:cs="Times New Roman"/>
        </w:rPr>
        <w:t>———</w:t>
      </w:r>
      <w:r>
        <w:rPr>
          <w:rFonts w:hint="eastAsia" w:cs="Times New Roman"/>
        </w:rPr>
        <w:t>矩形钢管混凝土柱垂直于计算弯曲平面方向的柱边长。</w:t>
      </w:r>
    </w:p>
    <w:p>
      <w:pPr>
        <w:pStyle w:val="4"/>
        <w:keepNext w:val="0"/>
        <w:keepLines w:val="0"/>
        <w:ind w:right="210"/>
        <w:rPr>
          <w:lang w:val="zh-CN"/>
        </w:rPr>
      </w:pPr>
      <w:r>
        <w:rPr>
          <w:rFonts w:hint="eastAsia"/>
          <w:lang w:val="zh-CN"/>
        </w:rPr>
        <w:t>圆形钢管混凝土偏心受压柱，其埋入式柱脚的埋置深度应符合</w:t>
      </w:r>
      <w:r>
        <w:rPr>
          <w:rFonts w:hint="eastAsia"/>
        </w:rPr>
        <w:t>公式</w:t>
      </w:r>
      <w:r>
        <w:rPr>
          <w:rFonts w:hint="eastAsia"/>
          <w:lang w:val="zh-CN"/>
        </w:rPr>
        <w:t>（</w:t>
      </w:r>
      <w:r>
        <w:rPr>
          <w:lang w:val="zh-CN"/>
        </w:rPr>
        <w:t>35</w:t>
      </w:r>
      <w:r>
        <w:rPr>
          <w:rFonts w:hint="eastAsia"/>
          <w:lang w:val="zh-CN"/>
        </w:rPr>
        <w:t>）规定：</w:t>
      </w:r>
    </w:p>
    <w:p>
      <w:pPr>
        <w:spacing w:line="240" w:lineRule="auto"/>
        <w:ind w:firstLine="480"/>
        <w:jc w:val="right"/>
      </w:pPr>
      <w:r>
        <w:rPr>
          <w:position w:val="-32"/>
          <w:sz w:val="24"/>
        </w:rPr>
        <w:object>
          <v:shape id="_x0000_i1061" o:spt="75" type="#_x0000_t75" style="height:37.55pt;width:85.15pt;" o:ole="t" filled="f" o:preferrelative="t" stroked="f" coordsize="21600,21600">
            <v:path/>
            <v:fill on="f" focussize="0,0"/>
            <v:stroke on="f" joinstyle="miter"/>
            <v:imagedata r:id="rId104" o:title=""/>
            <o:lock v:ext="edit" aspectratio="t"/>
            <w10:wrap type="none"/>
            <w10:anchorlock/>
          </v:shape>
          <o:OLEObject Type="Embed" ProgID="Equation.DSMT4" ShapeID="_x0000_i1061" DrawAspect="Content" ObjectID="_1468075761" r:id="rId103">
            <o:LockedField>false</o:LockedField>
          </o:OLEObject>
        </w:object>
      </w:r>
      <w:r>
        <w:rPr>
          <w:rFonts w:cs="Times New Roman"/>
        </w:rPr>
        <w:t xml:space="preserve"> </w:t>
      </w:r>
      <w:r>
        <w:rPr>
          <w:rFonts w:hint="eastAsia"/>
        </w:rPr>
        <w:t xml:space="preserve">                              </w:t>
      </w:r>
      <w:r>
        <w:t xml:space="preserve">      </w:t>
      </w:r>
      <w:r>
        <w:rPr>
          <w:rFonts w:hint="eastAsia"/>
        </w:rPr>
        <w:t xml:space="preserve"> (</w:t>
      </w:r>
      <w:r>
        <w:t>35</w:t>
      </w:r>
      <w:r>
        <w:rPr>
          <w:rFonts w:hint="eastAsia"/>
        </w:rPr>
        <w:t>)</w:t>
      </w:r>
    </w:p>
    <w:p>
      <w:pPr>
        <w:spacing w:line="360" w:lineRule="exact"/>
        <w:ind w:firstLine="840" w:firstLineChars="400"/>
        <w:jc w:val="left"/>
        <w:rPr>
          <w:rFonts w:cs="Times New Roman"/>
        </w:rPr>
      </w:pPr>
      <w:r>
        <w:rPr>
          <w:rFonts w:hint="eastAsia"/>
        </w:rPr>
        <w:t>式中：</w:t>
      </w:r>
      <w:r>
        <w:rPr>
          <w:rFonts w:hint="eastAsia"/>
          <w:i/>
          <w:iCs/>
        </w:rPr>
        <w:t>h</w:t>
      </w:r>
      <w:r>
        <w:rPr>
          <w:rFonts w:hint="eastAsia"/>
          <w:vertAlign w:val="subscript"/>
        </w:rPr>
        <w:t xml:space="preserve">B </w:t>
      </w:r>
      <w:r>
        <w:rPr>
          <w:rFonts w:cs="Times New Roman"/>
        </w:rPr>
        <w:t>———</w:t>
      </w:r>
      <w:r>
        <w:rPr>
          <w:rFonts w:hint="eastAsia" w:cs="Times New Roman"/>
        </w:rPr>
        <w:t>圆形钢管混凝土柱埋置深度；</w:t>
      </w:r>
    </w:p>
    <w:p>
      <w:pPr>
        <w:spacing w:line="360" w:lineRule="exact"/>
        <w:ind w:firstLine="1476" w:firstLineChars="703"/>
        <w:jc w:val="left"/>
        <w:rPr>
          <w:rFonts w:cs="Times New Roman"/>
        </w:rPr>
      </w:pPr>
      <w:r>
        <w:rPr>
          <w:rFonts w:hint="eastAsia" w:cs="Times New Roman"/>
          <w:i/>
          <w:iCs/>
        </w:rPr>
        <w:t>M</w:t>
      </w:r>
      <w:r>
        <w:rPr>
          <w:rFonts w:cs="Times New Roman"/>
        </w:rPr>
        <w:t>———</w:t>
      </w:r>
      <w:r>
        <w:rPr>
          <w:rFonts w:hint="eastAsia" w:cs="Times New Roman"/>
        </w:rPr>
        <w:t>埋入式柱脚弯矩设计值；</w:t>
      </w:r>
    </w:p>
    <w:p>
      <w:pPr>
        <w:spacing w:line="360" w:lineRule="exact"/>
        <w:ind w:firstLine="1476" w:firstLineChars="703"/>
        <w:jc w:val="left"/>
        <w:rPr>
          <w:rFonts w:cs="Times New Roman"/>
        </w:rPr>
      </w:pPr>
      <w:r>
        <w:rPr>
          <w:rFonts w:hint="eastAsia" w:cs="Times New Roman"/>
          <w:i/>
          <w:iCs/>
        </w:rPr>
        <w:t>f</w:t>
      </w:r>
      <w:r>
        <w:rPr>
          <w:rFonts w:hint="eastAsia" w:cs="Times New Roman"/>
          <w:vertAlign w:val="subscript"/>
        </w:rPr>
        <w:t>c</w:t>
      </w:r>
      <w:r>
        <w:rPr>
          <w:rFonts w:cs="Times New Roman"/>
        </w:rPr>
        <w:t>———</w:t>
      </w:r>
      <w:r>
        <w:rPr>
          <w:rFonts w:hint="eastAsia" w:cs="Times New Roman"/>
        </w:rPr>
        <w:t>基础底板混凝土轴心抗压强度设计值；</w:t>
      </w:r>
    </w:p>
    <w:p>
      <w:pPr>
        <w:spacing w:line="360" w:lineRule="exact"/>
        <w:ind w:firstLine="1476" w:firstLineChars="703"/>
        <w:jc w:val="left"/>
        <w:rPr>
          <w:rFonts w:cs="Times New Roman"/>
        </w:rPr>
      </w:pPr>
      <w:r>
        <w:rPr>
          <w:rFonts w:cs="Times New Roman"/>
          <w:i/>
        </w:rPr>
        <w:t>D</w:t>
      </w:r>
      <w:r>
        <w:rPr>
          <w:rFonts w:cs="Times New Roman"/>
        </w:rPr>
        <w:t>———</w:t>
      </w:r>
      <w:r>
        <w:rPr>
          <w:rFonts w:hint="eastAsia" w:cs="Times New Roman"/>
        </w:rPr>
        <w:t>圆形钢管混凝土柱外直径。</w:t>
      </w:r>
    </w:p>
    <w:p>
      <w:pPr>
        <w:pStyle w:val="4"/>
        <w:keepNext w:val="0"/>
        <w:keepLines w:val="0"/>
        <w:ind w:right="210"/>
        <w:rPr>
          <w:lang w:val="zh-CN"/>
        </w:rPr>
      </w:pPr>
      <w:r>
        <w:rPr>
          <w:rFonts w:hint="eastAsia"/>
          <w:lang w:val="zh-CN"/>
        </w:rPr>
        <w:t>无地下室或仅有一层地下室的矩形或圆形钢管混凝土柱的埋入式柱脚，其在基础底板（承台）中的埋置深度除应符合本文件第</w:t>
      </w:r>
      <w:r>
        <w:rPr>
          <w:rFonts w:hint="eastAsia"/>
        </w:rPr>
        <w:t>9</w:t>
      </w:r>
      <w:r>
        <w:rPr>
          <w:rFonts w:hint="eastAsia"/>
          <w:lang w:val="zh-CN"/>
        </w:rPr>
        <w:t>.</w:t>
      </w:r>
      <w:r>
        <w:t>5</w:t>
      </w:r>
      <w:r>
        <w:rPr>
          <w:rFonts w:hint="eastAsia"/>
          <w:lang w:val="zh-CN"/>
        </w:rPr>
        <w:t>.</w:t>
      </w:r>
      <w:r>
        <w:t>3</w:t>
      </w:r>
      <w:r>
        <w:rPr>
          <w:rFonts w:hint="eastAsia"/>
          <w:lang w:val="zh-CN"/>
        </w:rPr>
        <w:t>、</w:t>
      </w:r>
      <w:r>
        <w:rPr>
          <w:rFonts w:hint="eastAsia"/>
        </w:rPr>
        <w:t>9</w:t>
      </w:r>
      <w:r>
        <w:rPr>
          <w:rFonts w:hint="eastAsia"/>
          <w:lang w:val="zh-CN"/>
        </w:rPr>
        <w:t>.</w:t>
      </w:r>
      <w:r>
        <w:rPr>
          <w:rFonts w:hint="eastAsia"/>
        </w:rPr>
        <w:t>5</w:t>
      </w:r>
      <w:r>
        <w:rPr>
          <w:rFonts w:hint="eastAsia"/>
          <w:lang w:val="zh-CN"/>
        </w:rPr>
        <w:t>.</w:t>
      </w:r>
      <w:r>
        <w:rPr>
          <w:rFonts w:hint="eastAsia"/>
        </w:rPr>
        <w:t>4</w:t>
      </w:r>
      <w:r>
        <w:rPr>
          <w:rFonts w:hint="eastAsia"/>
          <w:lang w:val="zh-CN"/>
        </w:rPr>
        <w:t>条规定外，尚不应小于矩形钢管柱长边尺寸的2.0倍或圆形钢管柱直径的2.</w:t>
      </w:r>
      <w:r>
        <w:rPr>
          <w:lang w:val="zh-CN"/>
        </w:rPr>
        <w:t>5</w:t>
      </w:r>
      <w:r>
        <w:rPr>
          <w:rFonts w:hint="eastAsia"/>
          <w:lang w:val="zh-CN"/>
        </w:rPr>
        <w:t>倍。</w:t>
      </w:r>
    </w:p>
    <w:p>
      <w:pPr>
        <w:pStyle w:val="4"/>
        <w:keepNext w:val="0"/>
        <w:keepLines w:val="0"/>
        <w:ind w:right="210"/>
        <w:rPr>
          <w:lang w:val="zh-CN"/>
        </w:rPr>
      </w:pPr>
      <w:r>
        <w:rPr>
          <w:rFonts w:hint="eastAsia"/>
          <w:lang w:val="zh-CN"/>
        </w:rPr>
        <w:t>矩形或圆形钢管混凝土偏心受拉柱，其埋入式柱脚的埋置深度应符合本文件</w:t>
      </w:r>
      <w:r>
        <w:rPr>
          <w:rFonts w:hint="eastAsia"/>
        </w:rPr>
        <w:t>9</w:t>
      </w:r>
      <w:r>
        <w:rPr>
          <w:rFonts w:hint="eastAsia"/>
          <w:lang w:val="zh-CN"/>
        </w:rPr>
        <w:t>.</w:t>
      </w:r>
      <w:r>
        <w:t>5.3</w:t>
      </w:r>
      <w:r>
        <w:rPr>
          <w:rFonts w:hint="eastAsia"/>
          <w:lang w:val="zh-CN"/>
        </w:rPr>
        <w:t>、</w:t>
      </w:r>
      <w:r>
        <w:rPr>
          <w:rFonts w:hint="eastAsia"/>
        </w:rPr>
        <w:t>9</w:t>
      </w:r>
      <w:r>
        <w:rPr>
          <w:lang w:val="zh-CN"/>
        </w:rPr>
        <w:t>.5.4</w:t>
      </w:r>
      <w:r>
        <w:rPr>
          <w:rFonts w:hint="eastAsia"/>
          <w:lang w:val="zh-CN"/>
        </w:rPr>
        <w:t>条的规定。基础底板在轴向拉力作用下的受冲切计算应符合现行国家标准GB</w:t>
      </w:r>
      <w:r>
        <w:t>/T</w:t>
      </w:r>
      <w:r>
        <w:rPr>
          <w:rFonts w:hint="eastAsia"/>
        </w:rPr>
        <w:t xml:space="preserve"> </w:t>
      </w:r>
      <w:r>
        <w:rPr>
          <w:rFonts w:hint="eastAsia"/>
          <w:lang w:val="zh-CN"/>
        </w:rPr>
        <w:t>50010中有关受冲切承载力计算的规定，计算中冲切面高度应取钢管的埋置深度。</w:t>
      </w:r>
    </w:p>
    <w:p>
      <w:pPr>
        <w:pStyle w:val="4"/>
        <w:ind w:right="210"/>
      </w:pPr>
      <w:r>
        <w:rPr>
          <w:rFonts w:hint="eastAsia"/>
        </w:rPr>
        <w:t>钢管混凝土柱</w:t>
      </w:r>
      <w:r>
        <w:rPr>
          <w:rFonts w:hint="eastAsia"/>
          <w:lang w:val="zh-CN"/>
        </w:rPr>
        <w:t>埋入式</w:t>
      </w:r>
      <w:r>
        <w:rPr>
          <w:rFonts w:hint="eastAsia"/>
        </w:rPr>
        <w:t>柱脚的钢管底板厚度，不应小于柱脚钢管壁厚度，且不宜小于25mm。</w:t>
      </w:r>
    </w:p>
    <w:p>
      <w:pPr>
        <w:pStyle w:val="4"/>
        <w:keepNext w:val="0"/>
        <w:keepLines w:val="0"/>
        <w:ind w:right="210"/>
        <w:rPr>
          <w:lang w:val="zh-CN"/>
        </w:rPr>
      </w:pPr>
      <w:r>
        <w:rPr>
          <w:rFonts w:hint="eastAsia"/>
          <w:lang w:val="zh-CN"/>
        </w:rPr>
        <w:t>矩形或圆形钢管混凝土柱埋入式柱脚的埋置深度范围内的钢管壁外侧应设置栓钉，栓钉直径不宜小于19mm，水平和竖向间距不宜大于200mm，栓钉离侧不宜小于50mm且不大于100mm。</w:t>
      </w:r>
    </w:p>
    <w:p>
      <w:pPr>
        <w:pStyle w:val="4"/>
        <w:keepNext w:val="0"/>
        <w:keepLines w:val="0"/>
        <w:ind w:right="210"/>
        <w:rPr>
          <w:lang w:val="zh-CN"/>
        </w:rPr>
      </w:pPr>
      <w:r>
        <w:rPr>
          <w:rFonts w:hint="eastAsia"/>
          <w:lang w:val="zh-CN"/>
        </w:rPr>
        <w:t>钢管混凝土柱埋入式柱脚，在其埋</w:t>
      </w:r>
      <w:r>
        <w:rPr>
          <w:rFonts w:hint="eastAsia"/>
        </w:rPr>
        <w:t>入</w:t>
      </w:r>
      <w:r>
        <w:rPr>
          <w:rFonts w:hint="eastAsia"/>
          <w:lang w:val="zh-CN"/>
        </w:rPr>
        <w:t>部分的顶面位置，应设置水平加劲肋，加劲肋的厚度不宜小于25mm，且加劲肋应留有混凝土浇筑孔。</w:t>
      </w:r>
    </w:p>
    <w:p>
      <w:pPr>
        <w:pStyle w:val="4"/>
        <w:ind w:right="210"/>
      </w:pPr>
      <w:r>
        <w:rPr>
          <w:rFonts w:hint="eastAsia"/>
        </w:rPr>
        <w:t>钢管混凝土柱埋入式柱脚钢管底板处的锚栓埋置深度，应符合</w:t>
      </w:r>
      <w:r>
        <w:rPr>
          <w:rFonts w:hint="eastAsia"/>
          <w:lang w:val="zh-CN"/>
        </w:rPr>
        <w:t>现行国家标准</w:t>
      </w:r>
      <w:r>
        <w:rPr>
          <w:rFonts w:hint="eastAsia"/>
        </w:rPr>
        <w:t>GB</w:t>
      </w:r>
      <w:r>
        <w:t>/T</w:t>
      </w:r>
      <w:r>
        <w:rPr>
          <w:rFonts w:hint="eastAsia"/>
        </w:rPr>
        <w:t xml:space="preserve"> 50010的规定。</w:t>
      </w:r>
    </w:p>
    <w:p>
      <w:pPr>
        <w:pStyle w:val="4"/>
        <w:keepNext w:val="0"/>
        <w:keepLines w:val="0"/>
        <w:ind w:right="210"/>
      </w:pPr>
      <w:r>
        <w:t>当采用埋入式柱脚</w:t>
      </w:r>
      <w:r>
        <w:rPr>
          <w:rFonts w:hint="eastAsia"/>
        </w:rPr>
        <w:t>导</w:t>
      </w:r>
      <w:r>
        <w:t>致基础厚度过大时，可采用</w:t>
      </w:r>
      <w:r>
        <w:rPr>
          <w:rFonts w:hint="eastAsia"/>
        </w:rPr>
        <w:t>浅埋式钢管混凝土柱柱脚节点，</w:t>
      </w:r>
      <w:r>
        <w:t>其</w:t>
      </w:r>
      <w:r>
        <w:rPr>
          <w:rFonts w:hint="eastAsia"/>
        </w:rPr>
        <w:t>钢</w:t>
      </w:r>
      <w:r>
        <w:t>牛腿高度不小于1.0倍柱长边尺寸（或</w:t>
      </w:r>
      <w:r>
        <w:rPr>
          <w:rFonts w:hint="eastAsia" w:cs="Times New Roman"/>
        </w:rPr>
        <w:t>钢管柱外径</w:t>
      </w:r>
      <w:r>
        <w:t>），</w:t>
      </w:r>
      <w:r>
        <w:rPr>
          <w:rFonts w:hint="eastAsia"/>
        </w:rPr>
        <w:t>每侧</w:t>
      </w:r>
      <w:r>
        <w:t>挑出长度不小于1.0倍柱长边尺寸（或</w:t>
      </w:r>
      <w:r>
        <w:rPr>
          <w:rFonts w:hint="eastAsia" w:cs="Times New Roman"/>
        </w:rPr>
        <w:t>钢管柱外径</w:t>
      </w:r>
      <w:r>
        <w:t>）。柱内与牛腿上、下翼缘对应位置应设置内加强环，内加强环上设置浇筑孔，内加强环厚度不小于牛腿翼缘厚度，宽度不小于0.7部牛腿翼缘宽度；每个方向上两侧牛腿的抗弯承载力之和不小于该方向柱</w:t>
      </w:r>
      <w:r>
        <w:rPr>
          <w:rFonts w:hint="eastAsia"/>
        </w:rPr>
        <w:t>底</w:t>
      </w:r>
      <w:r>
        <w:t>弯矩设计值；水平牛腿端部应设置加劲肋，钢管四周、牛腿翼缘及腹板上应设置栓钉；水平牛腿与立柱、底部固定钢板连接，通过螺母调平（图</w:t>
      </w:r>
      <w:r>
        <w:rPr>
          <w:rFonts w:hint="eastAsia"/>
        </w:rPr>
        <w:t>12</w:t>
      </w:r>
      <w:r>
        <w:t>）。</w:t>
      </w:r>
    </w:p>
    <w:p>
      <w:pPr>
        <w:ind w:firstLine="0" w:firstLineChars="0"/>
      </w:pPr>
    </w:p>
    <w:p>
      <w:pPr>
        <w:ind w:firstLine="0" w:firstLineChars="0"/>
      </w:pPr>
      <w:r>
        <w:drawing>
          <wp:inline distT="0" distB="0" distL="114300" distR="114300">
            <wp:extent cx="5934710" cy="2484755"/>
            <wp:effectExtent l="0" t="0" r="8890" b="10795"/>
            <wp:docPr id="16" name="图片 16" descr="柱脚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柱脚图"/>
                    <pic:cNvPicPr>
                      <a:picLocks noChangeAspect="true"/>
                    </pic:cNvPicPr>
                  </pic:nvPicPr>
                  <pic:blipFill>
                    <a:blip r:embed="rId105"/>
                    <a:stretch>
                      <a:fillRect/>
                    </a:stretch>
                  </pic:blipFill>
                  <pic:spPr>
                    <a:xfrm>
                      <a:off x="0" y="0"/>
                      <a:ext cx="5934710" cy="2484755"/>
                    </a:xfrm>
                    <a:prstGeom prst="rect">
                      <a:avLst/>
                    </a:prstGeom>
                  </pic:spPr>
                </pic:pic>
              </a:graphicData>
            </a:graphic>
          </wp:inline>
        </w:drawing>
      </w:r>
    </w:p>
    <w:p>
      <w:pPr>
        <w:spacing w:line="400" w:lineRule="exact"/>
        <w:ind w:firstLine="0" w:firstLineChars="0"/>
        <w:jc w:val="center"/>
        <w:rPr>
          <w:rFonts w:ascii="黑体" w:hAnsi="黑体" w:eastAsia="黑体"/>
        </w:rPr>
      </w:pPr>
      <w:r>
        <w:rPr>
          <w:rFonts w:hint="eastAsia" w:ascii="黑体" w:hAnsi="黑体" w:eastAsia="黑体"/>
        </w:rPr>
        <w:t>图12</w:t>
      </w:r>
      <w:r>
        <w:rPr>
          <w:rFonts w:hint="eastAsia" w:ascii="黑体" w:hAnsi="黑体" w:eastAsia="黑体" w:cs="黑体"/>
        </w:rPr>
        <w:t>　</w:t>
      </w:r>
      <w:r>
        <w:rPr>
          <w:rFonts w:hint="eastAsia" w:ascii="黑体" w:hAnsi="黑体" w:eastAsia="黑体"/>
        </w:rPr>
        <w:t>浅埋式钢管混凝土柱柱脚构造</w:t>
      </w:r>
    </w:p>
    <w:p>
      <w:pPr>
        <w:ind w:firstLine="0" w:firstLineChars="0"/>
        <w:jc w:val="center"/>
      </w:pPr>
      <w:r>
        <w:rPr>
          <w:rFonts w:hint="eastAsia"/>
          <w:sz w:val="18"/>
          <w:szCs w:val="18"/>
        </w:rPr>
        <w:t>1-钢管混凝土柱；2-底板钢筋连接板；3-钢牛腿；4-加劲肋；5-内加强环；6-立柱；7-底部固定钢板；8-调平螺母</w:t>
      </w:r>
    </w:p>
    <w:p>
      <w:pPr>
        <w:pStyle w:val="4"/>
        <w:numPr>
          <w:ilvl w:val="2"/>
          <w:numId w:val="28"/>
        </w:numPr>
        <w:ind w:right="210"/>
      </w:pPr>
      <w:r>
        <w:rPr>
          <w:rFonts w:hint="eastAsia"/>
        </w:rPr>
        <w:t>钢管混凝土偏心受压柱，其非埋入式柱脚底板截面处正截面承载力、受剪承载力计算</w:t>
      </w:r>
      <w:r>
        <w:rPr>
          <w:rFonts w:hint="eastAsia"/>
          <w:lang w:val="zh-CN"/>
        </w:rPr>
        <w:t>应分别符合现行国家标准</w:t>
      </w:r>
      <w:r>
        <w:rPr>
          <w:rFonts w:hint="eastAsia"/>
        </w:rPr>
        <w:t>JGJ 138</w:t>
      </w:r>
      <w:r>
        <w:rPr>
          <w:rFonts w:hint="eastAsia"/>
          <w:lang w:val="zh-CN"/>
        </w:rPr>
        <w:t>中有关</w:t>
      </w:r>
      <w:r>
        <w:rPr>
          <w:rFonts w:hint="eastAsia"/>
        </w:rPr>
        <w:t>钢管混凝土柱偏心受压正截面承</w:t>
      </w:r>
      <w:r>
        <w:rPr>
          <w:rFonts w:hint="eastAsia"/>
          <w:lang w:val="zh-CN"/>
        </w:rPr>
        <w:t>载力和</w:t>
      </w:r>
      <w:r>
        <w:rPr>
          <w:rFonts w:hint="eastAsia"/>
        </w:rPr>
        <w:t>受剪承载力</w:t>
      </w:r>
      <w:r>
        <w:rPr>
          <w:rFonts w:hint="eastAsia"/>
          <w:lang w:val="zh-CN"/>
        </w:rPr>
        <w:t>计算的规定。</w:t>
      </w:r>
    </w:p>
    <w:p>
      <w:pPr>
        <w:pStyle w:val="4"/>
        <w:ind w:right="210"/>
      </w:pPr>
      <w:r>
        <w:rPr>
          <w:rFonts w:hint="eastAsia"/>
        </w:rPr>
        <w:t>钢管混凝土柱偏心受压柱，采用非埋入式柱脚构造应符合下列规定：</w:t>
      </w:r>
    </w:p>
    <w:p>
      <w:pPr>
        <w:pStyle w:val="75"/>
        <w:numPr>
          <w:ilvl w:val="0"/>
          <w:numId w:val="29"/>
        </w:numPr>
      </w:pPr>
      <w:r>
        <w:t>柱脚底板厚度不宜小于钢管壁厚的1.5倍，且不应小于20mm，宽度不宜小于钢管壁厚的6倍；</w:t>
      </w:r>
    </w:p>
    <w:p>
      <w:pPr>
        <w:pStyle w:val="75"/>
        <w:numPr>
          <w:ilvl w:val="0"/>
          <w:numId w:val="29"/>
        </w:numPr>
      </w:pPr>
      <w:r>
        <w:t>锚栓直径不宜小于25mm，间距不宜大于200mm，锚栓锚入基础的长度不宜小于25倍锚栓直</w:t>
      </w:r>
    </w:p>
    <w:p>
      <w:pPr>
        <w:ind w:firstLine="0" w:firstLineChars="0"/>
      </w:pPr>
      <w:r>
        <w:t>径；</w:t>
      </w:r>
    </w:p>
    <w:p>
      <w:pPr>
        <w:pStyle w:val="75"/>
        <w:numPr>
          <w:ilvl w:val="0"/>
          <w:numId w:val="29"/>
        </w:numPr>
      </w:pPr>
      <w:r>
        <w:t>钢管壁外加劲厚度不宜小于钢管壁厚，加劲肋高度不宜小于柱脚底板外伸宽度的2倍，加劲肋</w:t>
      </w:r>
    </w:p>
    <w:p>
      <w:pPr>
        <w:ind w:firstLine="0" w:firstLineChars="0"/>
      </w:pPr>
      <w:r>
        <w:t>间距不应大于柱脚底板厚度的10倍。</w:t>
      </w:r>
    </w:p>
    <w:p>
      <w:pPr>
        <w:pStyle w:val="2"/>
        <w:keepNext w:val="0"/>
        <w:keepLines w:val="0"/>
        <w:spacing w:before="240" w:after="240"/>
      </w:pPr>
      <w:bookmarkStart w:id="136" w:name="_Toc28277"/>
      <w:bookmarkStart w:id="137" w:name="_Toc186641490"/>
      <w:bookmarkStart w:id="138" w:name="_Toc185448944"/>
      <w:bookmarkStart w:id="139" w:name="_Toc185448854"/>
      <w:r>
        <w:rPr>
          <w:rFonts w:hint="eastAsia"/>
        </w:rPr>
        <w:t>防火和防腐蚀</w:t>
      </w:r>
      <w:bookmarkEnd w:id="136"/>
      <w:bookmarkEnd w:id="137"/>
      <w:bookmarkEnd w:id="138"/>
      <w:bookmarkEnd w:id="139"/>
    </w:p>
    <w:p>
      <w:pPr>
        <w:pStyle w:val="3"/>
        <w:spacing w:before="120" w:after="120"/>
      </w:pPr>
      <w:bookmarkStart w:id="140" w:name="_Toc186641491"/>
      <w:bookmarkStart w:id="141" w:name="_Toc9628"/>
      <w:r>
        <w:rPr>
          <w:rFonts w:hint="eastAsia"/>
        </w:rPr>
        <w:t>一般规定</w:t>
      </w:r>
      <w:bookmarkEnd w:id="140"/>
      <w:bookmarkEnd w:id="141"/>
    </w:p>
    <w:p>
      <w:pPr>
        <w:pStyle w:val="4"/>
        <w:ind w:right="210"/>
      </w:pPr>
      <w:r>
        <w:rPr>
          <w:rFonts w:hint="eastAsia"/>
        </w:rPr>
        <w:t>装配式混合框架结构应进行防火设计，各构件的耐火极限应符合</w:t>
      </w:r>
      <w:r>
        <w:rPr>
          <w:rFonts w:hint="eastAsia"/>
          <w:lang w:val="zh-CN"/>
        </w:rPr>
        <w:t>现行国家标准</w:t>
      </w:r>
      <w:r>
        <w:t>GB 50016</w:t>
      </w:r>
      <w:r>
        <w:rPr>
          <w:rFonts w:hint="eastAsia"/>
        </w:rPr>
        <w:t>的</w:t>
      </w:r>
      <w:r>
        <w:rPr>
          <w:spacing w:val="-5"/>
        </w:rPr>
        <w:t>相关</w:t>
      </w:r>
      <w:r>
        <w:rPr>
          <w:rFonts w:hint="eastAsia"/>
        </w:rPr>
        <w:t>规定。</w:t>
      </w:r>
    </w:p>
    <w:p>
      <w:pPr>
        <w:pStyle w:val="4"/>
        <w:ind w:right="210"/>
        <w:rPr>
          <w:spacing w:val="-5"/>
        </w:rPr>
      </w:pPr>
      <w:r>
        <w:rPr>
          <w:rFonts w:hint="eastAsia"/>
        </w:rPr>
        <w:t>钢构件的防火保护，</w:t>
      </w:r>
      <w:r>
        <w:rPr>
          <w:rFonts w:hint="eastAsia"/>
          <w:spacing w:val="-5"/>
        </w:rPr>
        <w:t>应符合</w:t>
      </w:r>
      <w:r>
        <w:rPr>
          <w:rFonts w:hint="eastAsia"/>
          <w:lang w:val="zh-CN"/>
        </w:rPr>
        <w:t>现行国家标准</w:t>
      </w:r>
      <w:r>
        <w:rPr>
          <w:rFonts w:hint="eastAsia"/>
          <w:spacing w:val="-5"/>
        </w:rPr>
        <w:t>G</w:t>
      </w:r>
      <w:r>
        <w:rPr>
          <w:spacing w:val="-5"/>
        </w:rPr>
        <w:t>B 51249的相关规定。钢管混凝土构件的防火保护，应符合</w:t>
      </w:r>
      <w:r>
        <w:rPr>
          <w:rFonts w:hint="eastAsia"/>
          <w:lang w:val="zh-CN"/>
        </w:rPr>
        <w:t>现行国家标准</w:t>
      </w:r>
      <w:r>
        <w:rPr>
          <w:rFonts w:hint="eastAsia"/>
          <w:spacing w:val="-5"/>
        </w:rPr>
        <w:t>G</w:t>
      </w:r>
      <w:r>
        <w:rPr>
          <w:spacing w:val="-5"/>
        </w:rPr>
        <w:t>B 50936的相关规定。</w:t>
      </w:r>
    </w:p>
    <w:p>
      <w:pPr>
        <w:pStyle w:val="4"/>
        <w:ind w:right="210"/>
      </w:pPr>
      <w:r>
        <w:rPr>
          <w:rFonts w:hint="eastAsia"/>
        </w:rPr>
        <w:t>钢构件的表面处理、除锈方法、除锈等级</w:t>
      </w:r>
      <w:r>
        <w:t>应符合</w:t>
      </w:r>
      <w:r>
        <w:rPr>
          <w:rFonts w:hint="eastAsia"/>
          <w:lang w:val="zh-CN"/>
        </w:rPr>
        <w:t>现行国家标准</w:t>
      </w:r>
      <w:r>
        <w:t>GB/T 8923的规定</w:t>
      </w:r>
      <w:r>
        <w:rPr>
          <w:rFonts w:hint="eastAsia"/>
        </w:rPr>
        <w:t>；涂料品种的选择、涂层结构和涂</w:t>
      </w:r>
      <w:r>
        <w:rPr>
          <w:spacing w:val="-95"/>
        </w:rPr>
        <w:t xml:space="preserve"> </w:t>
      </w:r>
      <w:r>
        <w:rPr>
          <w:rFonts w:hint="eastAsia"/>
          <w:spacing w:val="-2"/>
        </w:rPr>
        <w:t>层厚度应符合设计要求和</w:t>
      </w:r>
      <w:r>
        <w:rPr>
          <w:rFonts w:hint="eastAsia"/>
          <w:lang w:val="zh-CN"/>
        </w:rPr>
        <w:t>现行国家标准</w:t>
      </w:r>
      <w:r>
        <w:rPr>
          <w:spacing w:val="-2"/>
        </w:rPr>
        <w:t xml:space="preserve">GB </w:t>
      </w:r>
      <w:r>
        <w:rPr>
          <w:spacing w:val="-1"/>
        </w:rPr>
        <w:t>50205</w:t>
      </w:r>
      <w:r>
        <w:rPr>
          <w:rFonts w:hint="eastAsia"/>
          <w:spacing w:val="-1"/>
        </w:rPr>
        <w:t>、</w:t>
      </w:r>
      <w:r>
        <w:t>JGJ/T 251</w:t>
      </w:r>
      <w:r>
        <w:rPr>
          <w:rFonts w:hint="eastAsia"/>
        </w:rPr>
        <w:t>的有关规定。</w:t>
      </w:r>
    </w:p>
    <w:p>
      <w:pPr>
        <w:pStyle w:val="3"/>
        <w:spacing w:before="120" w:after="120"/>
      </w:pPr>
      <w:bookmarkStart w:id="142" w:name="bookmark63"/>
      <w:bookmarkEnd w:id="142"/>
      <w:bookmarkStart w:id="143" w:name="_Toc31845"/>
      <w:bookmarkStart w:id="144" w:name="_Toc186641492"/>
      <w:r>
        <w:rPr>
          <w:rFonts w:hint="eastAsia"/>
        </w:rPr>
        <w:t>耐火设计规定</w:t>
      </w:r>
      <w:bookmarkEnd w:id="143"/>
      <w:bookmarkEnd w:id="144"/>
    </w:p>
    <w:p>
      <w:pPr>
        <w:pStyle w:val="4"/>
        <w:ind w:right="210"/>
      </w:pPr>
      <w:r>
        <w:rPr>
          <w:rFonts w:hint="eastAsia"/>
        </w:rPr>
        <w:t>结构的耐火设计应满足下列要求：在规定的结构耐火极限的时间内，结构或构件的</w:t>
      </w:r>
      <w:r>
        <w:rPr>
          <w:spacing w:val="-60"/>
        </w:rPr>
        <w:t xml:space="preserve"> </w:t>
      </w:r>
      <w:r>
        <w:rPr>
          <w:rFonts w:hint="eastAsia"/>
        </w:rPr>
        <w:t>承载力应满足公式</w:t>
      </w:r>
      <w:r>
        <w:rPr>
          <w:rFonts w:hint="eastAsia"/>
          <w:lang w:val="zh-CN"/>
        </w:rPr>
        <w:t>（</w:t>
      </w:r>
      <w:r>
        <w:rPr>
          <w:lang w:val="zh-CN"/>
        </w:rPr>
        <w:t>36</w:t>
      </w:r>
      <w:r>
        <w:rPr>
          <w:rFonts w:hint="eastAsia"/>
          <w:lang w:val="zh-CN"/>
        </w:rPr>
        <w:t>）</w:t>
      </w:r>
      <w:r>
        <w:rPr>
          <w:rFonts w:hint="eastAsia"/>
        </w:rPr>
        <w:t>要求：</w:t>
      </w:r>
    </w:p>
    <w:p>
      <w:pPr>
        <w:spacing w:line="240" w:lineRule="auto"/>
        <w:ind w:firstLine="0" w:firstLineChars="0"/>
        <w:jc w:val="center"/>
        <w:rPr>
          <w:spacing w:val="-1"/>
        </w:rPr>
      </w:pPr>
      <w:r>
        <w:rPr>
          <w:sz w:val="24"/>
        </w:rPr>
        <w:t xml:space="preserve">                                 </w:t>
      </w:r>
      <w:r>
        <w:rPr>
          <w:position w:val="-12"/>
          <w:sz w:val="24"/>
        </w:rPr>
        <w:object>
          <v:shape id="_x0000_i1062" o:spt="75" type="#_x0000_t75" style="height:18.15pt;width:40.05pt;" o:ole="t" filled="f" o:preferrelative="t" stroked="f" coordsize="21600,21600">
            <v:path/>
            <v:fill on="f" focussize="0,0"/>
            <v:stroke on="f" joinstyle="miter"/>
            <v:imagedata r:id="rId107" o:title=""/>
            <o:lock v:ext="edit" aspectratio="t"/>
            <w10:wrap type="none"/>
            <w10:anchorlock/>
          </v:shape>
          <o:OLEObject Type="Embed" ProgID="Equation.DSMT4" ShapeID="_x0000_i1062" DrawAspect="Content" ObjectID="_1468075762" r:id="rId106">
            <o:LockedField>false</o:LockedField>
          </o:OLEObject>
        </w:object>
      </w:r>
      <w:r>
        <w:rPr>
          <w:sz w:val="24"/>
        </w:rPr>
        <w:t xml:space="preserve">                             </w:t>
      </w:r>
      <w:r>
        <w:rPr>
          <w:rFonts w:cs="Times New Roman"/>
          <w:spacing w:val="-1"/>
          <w:szCs w:val="21"/>
        </w:rPr>
        <w:t>（36）</w:t>
      </w:r>
    </w:p>
    <w:p>
      <w:pPr>
        <w:pStyle w:val="15"/>
        <w:spacing w:before="0" w:line="360" w:lineRule="exact"/>
        <w:ind w:left="0"/>
      </w:pPr>
      <w:r>
        <w:t>式中：</w:t>
      </w:r>
      <w:r>
        <w:rPr>
          <w:position w:val="-12"/>
        </w:rPr>
        <w:object>
          <v:shape id="_x0000_i1063" o:spt="75" type="#_x0000_t75" style="height:18.15pt;width:15.05pt;" o:ole="t" filled="f" o:preferrelative="t" stroked="f" coordsize="21600,21600">
            <v:path/>
            <v:fill on="f" focussize="0,0"/>
            <v:stroke on="f" joinstyle="miter"/>
            <v:imagedata r:id="rId109" o:title=""/>
            <o:lock v:ext="edit" aspectratio="t"/>
            <w10:wrap type="none"/>
            <w10:anchorlock/>
          </v:shape>
          <o:OLEObject Type="Embed" ProgID="Equation.DSMT4" ShapeID="_x0000_i1063" DrawAspect="Content" ObjectID="_1468075763" r:id="rId108">
            <o:LockedField>false</o:LockedField>
          </o:OLEObject>
        </w:object>
      </w:r>
      <w:r>
        <w:rPr>
          <w:rFonts w:hAnsi="宋体"/>
          <w:b/>
        </w:rPr>
        <w:t>——</w:t>
      </w:r>
      <w:r>
        <w:t>结构或构件的承载力；</w:t>
      </w:r>
    </w:p>
    <w:p>
      <w:pPr>
        <w:pStyle w:val="15"/>
        <w:spacing w:before="0" w:line="360" w:lineRule="exact"/>
        <w:ind w:left="0" w:firstLine="630" w:firstLineChars="300"/>
      </w:pPr>
      <w:r>
        <w:rPr>
          <w:position w:val="-12"/>
        </w:rPr>
        <w:object>
          <v:shape id="_x0000_i1064" o:spt="75" type="#_x0000_t75" style="height:18.15pt;width:15.65pt;" o:ole="t" filled="f" o:preferrelative="t" stroked="f" coordsize="21600,21600">
            <v:path/>
            <v:fill on="f" focussize="0,0"/>
            <v:stroke on="f" joinstyle="miter"/>
            <v:imagedata r:id="rId111" o:title=""/>
            <o:lock v:ext="edit" aspectratio="t"/>
            <w10:wrap type="none"/>
            <w10:anchorlock/>
          </v:shape>
          <o:OLEObject Type="Embed" ProgID="Equation.DSMT4" ShapeID="_x0000_i1064" DrawAspect="Content" ObjectID="_1468075764" r:id="rId110">
            <o:LockedField>false</o:LockedField>
          </o:OLEObject>
        </w:object>
      </w:r>
      <w:r>
        <w:rPr>
          <w:rFonts w:hAnsi="宋体" w:cs="Times New Roman"/>
          <w:b/>
        </w:rPr>
        <w:t>——</w:t>
      </w:r>
      <w:r>
        <w:t>各种作用所产生的组合效应值。</w:t>
      </w:r>
    </w:p>
    <w:p>
      <w:pPr>
        <w:pStyle w:val="4"/>
        <w:ind w:right="210"/>
      </w:pPr>
      <w:r>
        <w:t>钢构件耐火设计需要通过试验验证时，耐火试验应符合</w:t>
      </w:r>
      <w:r>
        <w:rPr>
          <w:rFonts w:hint="eastAsia"/>
        </w:rPr>
        <w:t>现行国家标准G</w:t>
      </w:r>
      <w:r>
        <w:t>B/T 9979的相关规定。</w:t>
      </w:r>
    </w:p>
    <w:p>
      <w:pPr>
        <w:pStyle w:val="4"/>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钢结构构件的</w:t>
      </w:r>
      <w:r>
        <w:rPr>
          <w:rFonts w:hint="eastAsia"/>
        </w:rPr>
        <w:t>耐火</w:t>
      </w:r>
      <w:r>
        <w:rPr>
          <w:rFonts w:hint="eastAsia"/>
          <w:color w:val="000000" w:themeColor="text1"/>
          <w14:textFill>
            <w14:solidFill>
              <w14:schemeClr w14:val="tx1"/>
            </w14:solidFill>
          </w14:textFill>
        </w:rPr>
        <w:t>验算和防火设计，可采用耐火极限法、承载力法或临界温度法。</w:t>
      </w:r>
    </w:p>
    <w:p>
      <w:pPr>
        <w:pStyle w:val="3"/>
        <w:spacing w:before="120" w:after="120"/>
      </w:pPr>
      <w:bookmarkStart w:id="145" w:name="bookmark65"/>
      <w:bookmarkEnd w:id="145"/>
      <w:bookmarkStart w:id="146" w:name="_Toc26880"/>
      <w:bookmarkStart w:id="147" w:name="_Toc186641493"/>
      <w:r>
        <w:rPr>
          <w:rFonts w:hint="eastAsia"/>
        </w:rPr>
        <w:t>防火构造要求</w:t>
      </w:r>
      <w:bookmarkEnd w:id="146"/>
      <w:bookmarkEnd w:id="147"/>
    </w:p>
    <w:p>
      <w:pPr>
        <w:pStyle w:val="4"/>
        <w:ind w:right="210"/>
      </w:pPr>
      <w:r>
        <w:t>钢结构防火涂料工程应在钢结构安装工程施工质量验收合格后进行，</w:t>
      </w:r>
      <w:r>
        <w:rPr>
          <w:rFonts w:hint="eastAsia"/>
        </w:rPr>
        <w:t>防火材料所选用的防火涂料和防火板应提供有资格单位出具的材性参数测试数据。各类防火涂料的特性及适用范围应满足相关规范要求</w:t>
      </w:r>
      <w:r>
        <w:rPr>
          <w:rFonts w:hint="eastAsia"/>
          <w:spacing w:val="-6"/>
        </w:rPr>
        <w:t>。</w:t>
      </w:r>
    </w:p>
    <w:p>
      <w:pPr>
        <w:pStyle w:val="4"/>
        <w:ind w:right="210"/>
      </w:pPr>
      <w:r>
        <w:t>采用涂敷防火涂料时应满足如下要求：</w:t>
      </w:r>
    </w:p>
    <w:p>
      <w:pPr>
        <w:numPr>
          <w:ilvl w:val="0"/>
          <w:numId w:val="30"/>
        </w:numPr>
        <w:ind w:left="0" w:firstLine="420"/>
        <w:rPr>
          <w:lang w:val="zh-CN"/>
        </w:rPr>
      </w:pPr>
      <w:r>
        <w:rPr>
          <w:rFonts w:hint="eastAsia"/>
          <w:lang w:val="zh-CN"/>
        </w:rPr>
        <w:t>室内隐蔽构件，宜选用非膨胀型防火涂料。</w:t>
      </w:r>
    </w:p>
    <w:p>
      <w:pPr>
        <w:numPr>
          <w:ilvl w:val="0"/>
          <w:numId w:val="30"/>
        </w:numPr>
        <w:ind w:left="0" w:firstLine="420"/>
        <w:rPr>
          <w:lang w:val="zh-CN"/>
        </w:rPr>
      </w:pPr>
      <w:r>
        <w:rPr>
          <w:rFonts w:hint="eastAsia"/>
          <w:lang w:val="zh-CN"/>
        </w:rPr>
        <w:t>室内耐火极限大于</w:t>
      </w:r>
      <w:r>
        <w:rPr>
          <w:lang w:val="zh-CN"/>
        </w:rPr>
        <w:t>1.5小时</w:t>
      </w:r>
      <w:r>
        <w:rPr>
          <w:rFonts w:hint="eastAsia"/>
          <w:lang w:val="zh-CN"/>
        </w:rPr>
        <w:t>的构件，不宜选用膨胀型防火涂料。</w:t>
      </w:r>
    </w:p>
    <w:p>
      <w:pPr>
        <w:numPr>
          <w:ilvl w:val="0"/>
          <w:numId w:val="30"/>
        </w:numPr>
        <w:ind w:left="0" w:firstLine="420"/>
        <w:rPr>
          <w:lang w:val="zh-CN"/>
        </w:rPr>
      </w:pPr>
      <w:r>
        <w:rPr>
          <w:rFonts w:hint="eastAsia"/>
          <w:lang w:val="zh-CN"/>
        </w:rPr>
        <w:t>室外、半室外钢结构采用膨胀型防火涂料时，应选用符合环境对其性能要求的产品。</w:t>
      </w:r>
    </w:p>
    <w:p>
      <w:pPr>
        <w:numPr>
          <w:ilvl w:val="0"/>
          <w:numId w:val="30"/>
        </w:numPr>
        <w:ind w:left="0" w:firstLine="420"/>
        <w:rPr>
          <w:lang w:val="zh-CN"/>
        </w:rPr>
      </w:pPr>
      <w:r>
        <w:rPr>
          <w:rFonts w:hint="eastAsia"/>
          <w:lang w:val="zh-CN"/>
        </w:rPr>
        <w:t>非膨胀型防火涂料涂层的厚度不应小于</w:t>
      </w:r>
      <w:r>
        <w:rPr>
          <w:lang w:val="zh-CN"/>
        </w:rPr>
        <w:t>10mm</w:t>
      </w:r>
      <w:r>
        <w:rPr>
          <w:rFonts w:hint="eastAsia"/>
          <w:lang w:val="zh-CN"/>
        </w:rPr>
        <w:t>。</w:t>
      </w:r>
    </w:p>
    <w:p>
      <w:pPr>
        <w:numPr>
          <w:ilvl w:val="0"/>
          <w:numId w:val="30"/>
        </w:numPr>
        <w:ind w:left="0" w:firstLine="420"/>
        <w:rPr>
          <w:szCs w:val="32"/>
        </w:rPr>
      </w:pPr>
      <w:r>
        <w:rPr>
          <w:rFonts w:hint="eastAsia"/>
          <w:lang w:val="zh-CN"/>
        </w:rPr>
        <w:t>防火涂料与防腐涂料应相容、匹配。</w:t>
      </w:r>
    </w:p>
    <w:p>
      <w:pPr>
        <w:pStyle w:val="4"/>
        <w:ind w:right="210"/>
      </w:pPr>
      <w:r>
        <w:rPr>
          <w:rFonts w:hint="eastAsia"/>
        </w:rPr>
        <w:t>采取防火板用作钢结构防火保护其结构构造和施工方法须与进行耐火极限检测的条件基本一致。</w:t>
      </w:r>
    </w:p>
    <w:p>
      <w:pPr>
        <w:pStyle w:val="3"/>
        <w:spacing w:before="120" w:after="120"/>
      </w:pPr>
      <w:bookmarkStart w:id="148" w:name="_Toc24379"/>
      <w:bookmarkStart w:id="149" w:name="_Toc186641494"/>
      <w:r>
        <w:t>防腐设计规定</w:t>
      </w:r>
      <w:bookmarkEnd w:id="148"/>
      <w:bookmarkEnd w:id="149"/>
    </w:p>
    <w:p>
      <w:pPr>
        <w:pStyle w:val="4"/>
        <w:ind w:right="210"/>
      </w:pPr>
      <w:bookmarkStart w:id="150" w:name="bookmark66"/>
      <w:bookmarkEnd w:id="150"/>
      <w:r>
        <w:t>环境中介质对钢结构长期作用下的腐蚀性等级可划分为：很低（C1</w:t>
      </w:r>
      <w:r>
        <w:rPr>
          <w:rFonts w:hint="eastAsia"/>
        </w:rPr>
        <w:t>）</w:t>
      </w:r>
      <w:r>
        <w:t>、低（C2）、中等（C3）、高（C4）、很高（C5）5个等级，详表5。</w:t>
      </w:r>
    </w:p>
    <w:p>
      <w:pPr>
        <w:ind w:firstLine="0" w:firstLineChars="0"/>
      </w:pPr>
    </w:p>
    <w:p>
      <w:pPr>
        <w:spacing w:line="400" w:lineRule="exact"/>
        <w:ind w:firstLine="0" w:firstLineChars="0"/>
        <w:jc w:val="center"/>
        <w:rPr>
          <w:rFonts w:ascii="黑体" w:hAnsi="黑体" w:eastAsia="黑体"/>
          <w:b/>
          <w:color w:val="000000" w:themeColor="text1"/>
          <w:szCs w:val="21"/>
          <w14:textFill>
            <w14:solidFill>
              <w14:schemeClr w14:val="tx1"/>
            </w14:solidFill>
          </w14:textFill>
        </w:rPr>
      </w:pPr>
      <w:r>
        <w:rPr>
          <w:rFonts w:hint="eastAsia" w:ascii="黑体" w:hAnsi="黑体" w:eastAsia="黑体"/>
          <w:bCs/>
        </w:rPr>
        <w:t>表</w:t>
      </w:r>
      <w:r>
        <w:rPr>
          <w:rFonts w:ascii="黑体" w:hAnsi="黑体" w:eastAsia="黑体"/>
          <w:bCs/>
        </w:rPr>
        <w:t>5</w:t>
      </w:r>
      <w:r>
        <w:rPr>
          <w:rFonts w:hint="eastAsia" w:ascii="黑体" w:hAnsi="黑体" w:eastAsia="黑体" w:cs="黑体"/>
        </w:rPr>
        <w:t>　</w:t>
      </w:r>
      <w:r>
        <w:rPr>
          <w:rFonts w:ascii="黑体" w:hAnsi="黑体" w:eastAsia="黑体"/>
          <w:b/>
          <w:color w:val="000000" w:themeColor="text1"/>
          <w:szCs w:val="21"/>
          <w14:textFill>
            <w14:solidFill>
              <w14:schemeClr w14:val="tx1"/>
            </w14:solidFill>
          </w14:textFill>
        </w:rPr>
        <w:t>钢结构腐蚀性等级分类</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37"/>
        <w:gridCol w:w="1021"/>
        <w:gridCol w:w="1021"/>
        <w:gridCol w:w="1021"/>
        <w:gridCol w:w="1021"/>
        <w:gridCol w:w="1889"/>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blHeader/>
          <w:jc w:val="center"/>
        </w:trPr>
        <w:tc>
          <w:tcPr>
            <w:tcW w:w="737" w:type="dxa"/>
            <w:vMerge w:val="restart"/>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腐蚀性</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等级</w:t>
            </w:r>
          </w:p>
        </w:tc>
        <w:tc>
          <w:tcPr>
            <w:tcW w:w="4084" w:type="dxa"/>
            <w:gridSpan w:val="4"/>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单位面积上质量的损失（第一年）</w:t>
            </w:r>
          </w:p>
        </w:tc>
        <w:tc>
          <w:tcPr>
            <w:tcW w:w="3970" w:type="dxa"/>
            <w:gridSpan w:val="2"/>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典型环境（仅作参考）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blHeader/>
          <w:jc w:val="center"/>
        </w:trPr>
        <w:tc>
          <w:tcPr>
            <w:tcW w:w="737" w:type="dxa"/>
            <w:vMerge w:val="continue"/>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2042" w:type="dxa"/>
            <w:gridSpan w:val="2"/>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低碳钢</w:t>
            </w:r>
          </w:p>
        </w:tc>
        <w:tc>
          <w:tcPr>
            <w:tcW w:w="2042" w:type="dxa"/>
            <w:gridSpan w:val="2"/>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锌</w:t>
            </w:r>
          </w:p>
        </w:tc>
        <w:tc>
          <w:tcPr>
            <w:tcW w:w="1889" w:type="dxa"/>
            <w:vMerge w:val="restart"/>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外部</w:t>
            </w:r>
          </w:p>
        </w:tc>
        <w:tc>
          <w:tcPr>
            <w:tcW w:w="2081" w:type="dxa"/>
            <w:vMerge w:val="restart"/>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blHeader/>
          <w:jc w:val="center"/>
        </w:trPr>
        <w:tc>
          <w:tcPr>
            <w:tcW w:w="737" w:type="dxa"/>
            <w:vMerge w:val="continue"/>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质量损失</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/(g/m</w:t>
            </w:r>
            <w:r>
              <w:rPr>
                <w:rFonts w:cs="Times New Roman"/>
                <w:color w:val="000000" w:themeColor="text1"/>
                <w:sz w:val="18"/>
                <w:szCs w:val="18"/>
                <w:vertAlign w:val="superscript"/>
                <w14:textFill>
                  <w14:solidFill>
                    <w14:schemeClr w14:val="tx1"/>
                  </w14:solidFill>
                </w14:textFill>
              </w:rPr>
              <w:t>2</w:t>
            </w:r>
            <w:r>
              <w:rPr>
                <w:rFonts w:cs="Times New Roman"/>
                <w:color w:val="000000" w:themeColor="text1"/>
                <w:sz w:val="18"/>
                <w:szCs w:val="18"/>
                <w14:textFill>
                  <w14:solidFill>
                    <w14:schemeClr w14:val="tx1"/>
                  </w14:solidFill>
                </w14:textFill>
              </w:rPr>
              <w:t>)</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厚度损失</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/um</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质量损失</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/(g/m</w:t>
            </w:r>
            <w:r>
              <w:rPr>
                <w:rFonts w:cs="Times New Roman"/>
                <w:color w:val="000000" w:themeColor="text1"/>
                <w:sz w:val="18"/>
                <w:szCs w:val="18"/>
                <w:vertAlign w:val="superscript"/>
                <w14:textFill>
                  <w14:solidFill>
                    <w14:schemeClr w14:val="tx1"/>
                  </w14:solidFill>
                </w14:textFill>
              </w:rPr>
              <w:t>2)</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厚度损失</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/um</w:t>
            </w:r>
          </w:p>
        </w:tc>
        <w:tc>
          <w:tcPr>
            <w:tcW w:w="1889" w:type="dxa"/>
            <w:vMerge w:val="continue"/>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2081" w:type="dxa"/>
            <w:vMerge w:val="continue"/>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C1</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很低</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w:t>
            </w:r>
          </w:p>
        </w:tc>
        <w:tc>
          <w:tcPr>
            <w:tcW w:w="1889"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208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加热的建筑物内部，空气洁净，如办公室、商店、学校和宾馆等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C2</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低</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10~200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1.3~25</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0.7~5</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0.1~0.7</w:t>
            </w:r>
          </w:p>
        </w:tc>
        <w:tc>
          <w:tcPr>
            <w:tcW w:w="1889"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大气污染较低，如低污染的乡村地区</w:t>
            </w:r>
          </w:p>
        </w:tc>
        <w:tc>
          <w:tcPr>
            <w:tcW w:w="208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未加热的建筑物内部，冷凝有可能发生，如库房、体育馆等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C3</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中</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200~400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25~50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5~15</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0.7~2.1</w:t>
            </w:r>
          </w:p>
        </w:tc>
        <w:tc>
          <w:tcPr>
            <w:tcW w:w="1889"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城市和工业大气，中等的二氧化硫污染，低盐度沿海区域</w:t>
            </w:r>
          </w:p>
        </w:tc>
        <w:tc>
          <w:tcPr>
            <w:tcW w:w="208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高湿度和有些污染生产场所，如食品加工厂、洗衣场、酒厂、牛奶厂等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C4</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高</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400~650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50~80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15~30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2.1~4.2</w:t>
            </w:r>
          </w:p>
        </w:tc>
        <w:tc>
          <w:tcPr>
            <w:tcW w:w="1889"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高盐度的工业区和沿海区域</w:t>
            </w:r>
          </w:p>
        </w:tc>
        <w:tc>
          <w:tcPr>
            <w:tcW w:w="208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化工厂、游泳池、海船内部和船厂等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C5</w:t>
            </w:r>
          </w:p>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很高</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650~1500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80~200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30~60</w:t>
            </w:r>
          </w:p>
        </w:tc>
        <w:tc>
          <w:tcPr>
            <w:tcW w:w="102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4.2~8.4</w:t>
            </w:r>
          </w:p>
        </w:tc>
        <w:tc>
          <w:tcPr>
            <w:tcW w:w="1889"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高盐度和恶劣大气的工业区域，高盐度的沿海和离岸地带</w:t>
            </w:r>
          </w:p>
        </w:tc>
        <w:tc>
          <w:tcPr>
            <w:tcW w:w="2081" w:type="dxa"/>
            <w:vAlign w:val="center"/>
          </w:tcPr>
          <w:p>
            <w:pPr>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总是有冷凝水、高湿度、高污染的建筑物或其它地方</w:t>
            </w:r>
          </w:p>
        </w:tc>
      </w:tr>
    </w:tbl>
    <w:p>
      <w:pPr>
        <w:pStyle w:val="4"/>
        <w:ind w:right="210"/>
      </w:pPr>
      <w:bookmarkStart w:id="151" w:name="_Toc174105321"/>
      <w:bookmarkStart w:id="152" w:name="_Toc174088178"/>
      <w:bookmarkStart w:id="153" w:name="_Toc173859181"/>
      <w:bookmarkStart w:id="154" w:name="_Toc154474354"/>
      <w:r>
        <w:t>钢结构防腐蚀设计寿命</w:t>
      </w:r>
      <w:r>
        <w:rPr>
          <w:rFonts w:hint="eastAsia"/>
        </w:rPr>
        <w:t>可</w:t>
      </w:r>
      <w:r>
        <w:t>为2~5年、5~10 年、10~15年和大于15年4种情况。</w:t>
      </w:r>
      <w:bookmarkEnd w:id="151"/>
      <w:bookmarkEnd w:id="152"/>
      <w:bookmarkEnd w:id="153"/>
      <w:bookmarkEnd w:id="154"/>
    </w:p>
    <w:p>
      <w:pPr>
        <w:pStyle w:val="4"/>
        <w:ind w:right="210"/>
      </w:pPr>
      <w:bookmarkStart w:id="155" w:name="_Toc173859183"/>
      <w:bookmarkStart w:id="156" w:name="_Toc174088180"/>
      <w:bookmarkStart w:id="157" w:name="_Toc174105323"/>
      <w:bookmarkStart w:id="158" w:name="_Toc154474356"/>
      <w:r>
        <w:t>钢结构防腐蚀涂料的配套方案，可根据环境腐蚀条件、防腐蚀设计工作年限、施工和维修条件等要求设计。</w:t>
      </w:r>
      <w:bookmarkEnd w:id="155"/>
      <w:bookmarkEnd w:id="156"/>
      <w:bookmarkEnd w:id="157"/>
      <w:bookmarkEnd w:id="158"/>
      <w:bookmarkStart w:id="159" w:name="_Toc174088181"/>
      <w:bookmarkStart w:id="160" w:name="_Toc173859184"/>
      <w:bookmarkStart w:id="161" w:name="_Toc174105324"/>
      <w:bookmarkStart w:id="162" w:name="_Toc154474357"/>
    </w:p>
    <w:bookmarkEnd w:id="159"/>
    <w:bookmarkEnd w:id="160"/>
    <w:bookmarkEnd w:id="161"/>
    <w:bookmarkEnd w:id="162"/>
    <w:p>
      <w:pPr>
        <w:pStyle w:val="3"/>
        <w:keepNext w:val="0"/>
        <w:keepLines w:val="0"/>
        <w:spacing w:before="120" w:after="120"/>
      </w:pPr>
      <w:bookmarkStart w:id="163" w:name="bookmark67"/>
      <w:bookmarkEnd w:id="163"/>
      <w:bookmarkStart w:id="164" w:name="_Toc23448"/>
      <w:bookmarkStart w:id="165" w:name="_Toc186641495"/>
      <w:r>
        <w:rPr>
          <w:rFonts w:hint="eastAsia"/>
        </w:rPr>
        <w:t>钢构件防腐使用维护</w:t>
      </w:r>
      <w:bookmarkEnd w:id="164"/>
      <w:bookmarkEnd w:id="165"/>
    </w:p>
    <w:p>
      <w:pPr>
        <w:pStyle w:val="4"/>
        <w:ind w:right="210"/>
      </w:pPr>
      <w:r>
        <w:t>钢结构设计文件中应注明使用单位在使用过程中对钢结构防腐蚀进行定期检查和维修的要求，制定防腐蚀维护计划。</w:t>
      </w:r>
    </w:p>
    <w:p>
      <w:pPr>
        <w:pStyle w:val="4"/>
        <w:ind w:right="210"/>
      </w:pPr>
      <w:bookmarkStart w:id="166" w:name="bookmark68"/>
      <w:bookmarkEnd w:id="166"/>
      <w:r>
        <w:rPr>
          <w:rFonts w:hint="eastAsia"/>
        </w:rPr>
        <w:t>建筑钢结构的防腐蚀维护应包括下列内容：</w:t>
      </w:r>
    </w:p>
    <w:p>
      <w:pPr>
        <w:numPr>
          <w:ilvl w:val="0"/>
          <w:numId w:val="31"/>
        </w:numPr>
        <w:ind w:left="0" w:firstLine="420"/>
        <w:rPr>
          <w:lang w:val="zh-CN"/>
        </w:rPr>
      </w:pPr>
      <w:r>
        <w:rPr>
          <w:rFonts w:hint="eastAsia"/>
        </w:rPr>
        <w:t>应根</w:t>
      </w:r>
      <w:r>
        <w:rPr>
          <w:rFonts w:hint="eastAsia"/>
          <w:lang w:val="zh-CN"/>
        </w:rPr>
        <w:t>据定期检查和特殊检查情况，判断钢结构和防腐蚀保护层的状态。</w:t>
      </w:r>
    </w:p>
    <w:p>
      <w:pPr>
        <w:numPr>
          <w:ilvl w:val="0"/>
          <w:numId w:val="31"/>
        </w:numPr>
        <w:ind w:left="0" w:firstLine="420"/>
      </w:pPr>
      <w:r>
        <w:rPr>
          <w:rFonts w:hint="eastAsia"/>
          <w:lang w:val="zh-CN"/>
        </w:rPr>
        <w:t>应根据检查的结果对钢结构</w:t>
      </w:r>
      <w:r>
        <w:rPr>
          <w:rFonts w:hint="eastAsia"/>
        </w:rPr>
        <w:t>的防腐蚀效果做出判断，确定更新或修复的范围。</w:t>
      </w:r>
    </w:p>
    <w:p>
      <w:pPr>
        <w:pStyle w:val="4"/>
        <w:ind w:right="210"/>
      </w:pPr>
      <w:r>
        <w:rPr>
          <w:rFonts w:hint="eastAsia"/>
        </w:rPr>
        <w:t>钢结构防腐蚀维护施工应有妥善的安全防护措施和环境保护措施。</w:t>
      </w:r>
    </w:p>
    <w:p>
      <w:pPr>
        <w:pStyle w:val="2"/>
        <w:keepNext w:val="0"/>
        <w:keepLines w:val="0"/>
        <w:spacing w:before="240" w:after="240"/>
      </w:pPr>
      <w:bookmarkStart w:id="167" w:name="_Toc186641496"/>
      <w:bookmarkStart w:id="168" w:name="_Toc185448945"/>
      <w:bookmarkStart w:id="169" w:name="_Toc185448855"/>
      <w:bookmarkStart w:id="170" w:name="_Toc31106"/>
      <w:bookmarkStart w:id="171" w:name="_Toc16389"/>
      <w:r>
        <w:rPr>
          <w:rFonts w:hint="eastAsia"/>
        </w:rPr>
        <w:t>构件制作与运输</w:t>
      </w:r>
      <w:bookmarkEnd w:id="167"/>
      <w:bookmarkEnd w:id="168"/>
      <w:bookmarkEnd w:id="169"/>
      <w:bookmarkEnd w:id="170"/>
      <w:bookmarkEnd w:id="171"/>
    </w:p>
    <w:p>
      <w:pPr>
        <w:pStyle w:val="3"/>
        <w:keepNext w:val="0"/>
        <w:keepLines w:val="0"/>
        <w:spacing w:before="120" w:after="120"/>
      </w:pPr>
      <w:bookmarkStart w:id="172" w:name="_Toc186641497"/>
      <w:bookmarkStart w:id="173" w:name="_Toc27393"/>
      <w:r>
        <w:rPr>
          <w:rFonts w:hint="eastAsia"/>
        </w:rPr>
        <w:t>一般规定</w:t>
      </w:r>
      <w:bookmarkEnd w:id="172"/>
      <w:bookmarkEnd w:id="173"/>
    </w:p>
    <w:p>
      <w:pPr>
        <w:pStyle w:val="4"/>
        <w:keepNext w:val="0"/>
        <w:keepLines w:val="0"/>
        <w:ind w:right="210"/>
      </w:pPr>
      <w:r>
        <w:rPr>
          <w:rFonts w:hint="eastAsia"/>
        </w:rPr>
        <w:t>钢构件制作单位应具备相应的钢结构工程施工资质，加工制作宜采用机械化与自动化等工业化方式，并宜信息化管理。</w:t>
      </w:r>
    </w:p>
    <w:p>
      <w:pPr>
        <w:ind w:firstLine="0" w:firstLineChars="0"/>
        <w:rPr>
          <w:bCs/>
          <w:szCs w:val="32"/>
        </w:rPr>
      </w:pPr>
      <w:r>
        <w:rPr>
          <w:rFonts w:hint="eastAsia"/>
        </w:rPr>
        <w:t>11.1.2</w:t>
      </w:r>
      <w:r>
        <w:rPr>
          <w:rFonts w:hint="eastAsia"/>
          <w:bCs/>
          <w:szCs w:val="32"/>
        </w:rPr>
        <w:t>钢结构制作前，应根据设计文件、施工详图的要求以及制作厂的条件编制制作工艺书，并经由发包单位代表或监理工程师批准。</w:t>
      </w:r>
    </w:p>
    <w:p>
      <w:pPr>
        <w:ind w:firstLine="0" w:firstLineChars="0"/>
        <w:rPr>
          <w:bCs/>
          <w:szCs w:val="32"/>
        </w:rPr>
      </w:pPr>
      <w:r>
        <w:rPr>
          <w:rFonts w:hint="eastAsia"/>
          <w:bCs/>
          <w:szCs w:val="32"/>
        </w:rPr>
        <w:t>11.1.3钢结构制作单位宜对构造复杂的构件进行工艺性试验。</w:t>
      </w:r>
    </w:p>
    <w:p>
      <w:pPr>
        <w:pStyle w:val="3"/>
        <w:keepNext w:val="0"/>
        <w:keepLines w:val="0"/>
        <w:spacing w:before="120" w:after="120"/>
      </w:pPr>
      <w:bookmarkStart w:id="174" w:name="_Toc31108"/>
      <w:bookmarkStart w:id="175" w:name="_Toc186641498"/>
      <w:r>
        <w:rPr>
          <w:rFonts w:hint="eastAsia"/>
        </w:rPr>
        <w:t>材料要求</w:t>
      </w:r>
      <w:bookmarkEnd w:id="174"/>
      <w:bookmarkEnd w:id="175"/>
    </w:p>
    <w:p>
      <w:pPr>
        <w:pStyle w:val="4"/>
        <w:keepNext w:val="0"/>
        <w:keepLines w:val="0"/>
        <w:ind w:right="210"/>
      </w:pPr>
      <w:r>
        <w:rPr>
          <w:rFonts w:hint="eastAsia"/>
        </w:rPr>
        <w:t>钢结构所用钢材应符合设计文件、本规程及国家现行有关标准的规定，应具有质量合格证明文件，并经进场检验合格后使用。</w:t>
      </w:r>
    </w:p>
    <w:p>
      <w:pPr>
        <w:pStyle w:val="4"/>
        <w:keepNext w:val="0"/>
        <w:keepLines w:val="0"/>
        <w:ind w:right="210"/>
      </w:pPr>
      <w:r>
        <w:rPr>
          <w:rFonts w:hint="eastAsia"/>
        </w:rPr>
        <w:t>钢结构所用焊接材料、连接用普通螺栓、高强度螺栓等紧固件和涂料应符合设计文件、本规程及国家现行有关标准的规定，应具有产品质量证明书或检验报告，并经进场检验合格后使用。</w:t>
      </w:r>
    </w:p>
    <w:p>
      <w:pPr>
        <w:pStyle w:val="3"/>
        <w:keepNext w:val="0"/>
        <w:keepLines w:val="0"/>
        <w:spacing w:before="120" w:after="120"/>
      </w:pPr>
      <w:bookmarkStart w:id="176" w:name="_Toc186641499"/>
      <w:bookmarkStart w:id="177" w:name="_Toc18155"/>
      <w:r>
        <w:rPr>
          <w:rFonts w:hint="eastAsia"/>
        </w:rPr>
        <w:t>构件制作</w:t>
      </w:r>
      <w:bookmarkEnd w:id="176"/>
      <w:bookmarkEnd w:id="177"/>
    </w:p>
    <w:p>
      <w:pPr>
        <w:pStyle w:val="4"/>
        <w:keepNext w:val="0"/>
        <w:keepLines w:val="0"/>
        <w:ind w:right="210"/>
      </w:pPr>
      <w:r>
        <w:rPr>
          <w:rFonts w:hint="eastAsia"/>
        </w:rPr>
        <w:t>放样和号料应预留收缩量(包括现场焊接收缩量)及切割、铣端等需要的加工余量，高层结构钢框架柱尚应按设计要求预留弹性压缩量。柱压缩量应由设计单位提出，由制作单位、安装单位和设计单位协商确定，应按结构自重(包括钢结构楼板、幕墙等的重量)和经常作用的活荷载产生的柱轴力计算，相邻柱的弹性压缩量相差不超过 5mm时，可采用相同的压缩量。</w:t>
      </w:r>
    </w:p>
    <w:p>
      <w:pPr>
        <w:pStyle w:val="4"/>
        <w:keepNext w:val="0"/>
        <w:keepLines w:val="0"/>
        <w:ind w:right="210"/>
      </w:pPr>
      <w:r>
        <w:rPr>
          <w:rFonts w:hint="eastAsia"/>
        </w:rPr>
        <w:t>构件边缘加工宜采用自动切割、半自动切割、坡口机、刨边等方法进行精密切割来代替机械加工。</w:t>
      </w:r>
    </w:p>
    <w:p>
      <w:pPr>
        <w:pStyle w:val="4"/>
        <w:keepNext w:val="0"/>
        <w:keepLines w:val="0"/>
        <w:ind w:right="210"/>
      </w:pPr>
      <w:r>
        <w:rPr>
          <w:rFonts w:hint="eastAsia"/>
        </w:rPr>
        <w:t>钢构件组装应按制作工艺规定的顺序进行。组装前应对零部件进行严格检查，填写实测记录，制作必要的工装。</w:t>
      </w:r>
    </w:p>
    <w:p>
      <w:pPr>
        <w:pStyle w:val="4"/>
        <w:keepNext w:val="0"/>
        <w:keepLines w:val="0"/>
        <w:ind w:right="210"/>
      </w:pPr>
      <w:r>
        <w:rPr>
          <w:rFonts w:hint="eastAsia"/>
        </w:rPr>
        <w:t>首次采用的钢材、焊接材料、焊接方法、接头形式、焊接位置、焊后热处理制度以及焊接工艺参数、预热和后热措施等各种参数的组合条件，应在钢结构制作及安装施工之前按照规定程序进行焊接工艺评定，并制定焊接操作规程，焊接施工过程应遵守焊接操作规程规定。</w:t>
      </w:r>
    </w:p>
    <w:p>
      <w:pPr>
        <w:pStyle w:val="4"/>
        <w:keepNext w:val="0"/>
        <w:keepLines w:val="0"/>
        <w:ind w:right="210"/>
      </w:pPr>
      <w:r>
        <w:rPr>
          <w:rFonts w:hint="eastAsia"/>
        </w:rPr>
        <w:t>钢结构的焊接工作必须在焊接工程师的指导下进行;并应根据工艺评定合格的试验结果和数据编制焊接工艺文件。焊接工作应严格按照所编工艺文件中规定的焊接方法、工艺参数、施焊顺序等进行;并应符合现行国家标准GB 50661的规定。</w:t>
      </w:r>
    </w:p>
    <w:p>
      <w:pPr>
        <w:pStyle w:val="4"/>
        <w:keepNext w:val="0"/>
        <w:keepLines w:val="0"/>
        <w:ind w:right="210"/>
      </w:pPr>
      <w:r>
        <w:rPr>
          <w:rFonts w:hint="eastAsia"/>
        </w:rPr>
        <w:t>构件制孔宜使用多轴立式钻床或数控机床等制孔，同类孔径较多时，可采用模板制孔;制孔过程中，孔壁应保持与构件表面垂直；孔周围的毛刺、飞边，应用砂轮等清除。</w:t>
      </w:r>
    </w:p>
    <w:p>
      <w:pPr>
        <w:pStyle w:val="4"/>
        <w:keepNext w:val="0"/>
        <w:keepLines w:val="0"/>
        <w:ind w:right="210"/>
      </w:pPr>
      <w:r>
        <w:rPr>
          <w:rFonts w:hint="eastAsia"/>
        </w:rPr>
        <w:t>构件矫正可采用机械或有限度的加热(线状加热或点加热)方法，不得采用损伤材料组织结构的方法。</w:t>
      </w:r>
    </w:p>
    <w:p>
      <w:pPr>
        <w:pStyle w:val="4"/>
        <w:keepNext w:val="0"/>
        <w:keepLines w:val="0"/>
        <w:ind w:right="210"/>
      </w:pPr>
      <w:r>
        <w:rPr>
          <w:rFonts w:hint="eastAsia"/>
        </w:rPr>
        <w:t>高强度螺栓连接处的钢板表面处理方法与除锈等级应符合设计文件要求。摩擦型高强度螺栓连接摩擦面处理后应分别进行抗滑移系数试验和复验，其结果应达到设计文件中关于抗滑移系数的指标要求。</w:t>
      </w:r>
    </w:p>
    <w:p>
      <w:pPr>
        <w:pStyle w:val="3"/>
        <w:keepNext w:val="0"/>
        <w:keepLines w:val="0"/>
        <w:spacing w:before="120" w:after="120"/>
      </w:pPr>
      <w:bookmarkStart w:id="178" w:name="_Toc19986"/>
      <w:bookmarkStart w:id="179" w:name="_Toc186641500"/>
      <w:r>
        <w:rPr>
          <w:rFonts w:hint="eastAsia"/>
        </w:rPr>
        <w:t>构件</w:t>
      </w:r>
      <w:bookmarkEnd w:id="178"/>
      <w:r>
        <w:rPr>
          <w:rFonts w:hint="eastAsia"/>
        </w:rPr>
        <w:t>检验</w:t>
      </w:r>
      <w:bookmarkEnd w:id="179"/>
    </w:p>
    <w:p>
      <w:pPr>
        <w:pStyle w:val="4"/>
        <w:keepNext w:val="0"/>
        <w:keepLines w:val="0"/>
        <w:ind w:right="210"/>
      </w:pPr>
      <w:r>
        <w:rPr>
          <w:rFonts w:hint="eastAsia"/>
        </w:rPr>
        <w:t>装配构件的原材料及成品出厂验收按照现行国家标准GB 50205执行。</w:t>
      </w:r>
    </w:p>
    <w:p>
      <w:pPr>
        <w:pStyle w:val="4"/>
        <w:keepNext w:val="0"/>
        <w:keepLines w:val="0"/>
        <w:ind w:right="210"/>
      </w:pPr>
      <w:r>
        <w:rPr>
          <w:rFonts w:hint="eastAsia"/>
        </w:rPr>
        <w:t>边缘加工、焊缝破口和铣削加工的允许偏差按现行国家标准GB 50205进行控制。</w:t>
      </w:r>
    </w:p>
    <w:p>
      <w:pPr>
        <w:pStyle w:val="4"/>
        <w:keepNext w:val="0"/>
        <w:keepLines w:val="0"/>
        <w:ind w:right="210"/>
      </w:pPr>
      <w:r>
        <w:rPr>
          <w:rFonts w:hint="eastAsia"/>
        </w:rPr>
        <w:t>组装允许偏差应符合现行国家标准GB 50205的有关规定。</w:t>
      </w:r>
    </w:p>
    <w:p>
      <w:pPr>
        <w:pStyle w:val="4"/>
        <w:ind w:right="210"/>
      </w:pPr>
      <w:r>
        <w:rPr>
          <w:rFonts w:hint="eastAsia"/>
        </w:rPr>
        <w:t>钢构件内部全部焊缝应进行外观检查。要求全焊透的一级、二级焊缝应进行内部缺陷无损检测，一级焊缝探伤比例应为100%，二级焊缝探伤比例应不低于20%。</w:t>
      </w:r>
    </w:p>
    <w:p>
      <w:pPr>
        <w:pStyle w:val="4"/>
        <w:ind w:right="210"/>
      </w:pPr>
      <w:r>
        <w:rPr>
          <w:rFonts w:hint="eastAsia"/>
        </w:rPr>
        <w:t>焊缝</w:t>
      </w:r>
      <w:r>
        <w:t>应冷却到环境温度后方可进行外观检测，无损检测应在外观检测合格后进行，具体检测时间应符合</w:t>
      </w:r>
      <w:r>
        <w:rPr>
          <w:rFonts w:hint="eastAsia"/>
        </w:rPr>
        <w:t>现行国家标准</w:t>
      </w:r>
      <w:r>
        <w:t>GB</w:t>
      </w:r>
      <w:r>
        <w:rPr>
          <w:rFonts w:hint="eastAsia"/>
        </w:rPr>
        <w:t xml:space="preserve"> 50661的规定。</w:t>
      </w:r>
    </w:p>
    <w:p>
      <w:pPr>
        <w:pStyle w:val="4"/>
        <w:ind w:right="210"/>
      </w:pPr>
      <w:r>
        <w:rPr>
          <w:rFonts w:hint="eastAsia"/>
        </w:rPr>
        <w:t>焊缝质量的外观检查要求焊缝表面应均匀、平滑，无折皱、间断和未满焊应与基本金属平缓连接，严禁有裂纹、夹渣、焊瘤、烧穿、弧坑、针状气孔和熔合性飞溅等缺陷。焊缝外观质量和焊缝外观尺寸要求按现行国家标准GB 50205执行。</w:t>
      </w:r>
    </w:p>
    <w:p>
      <w:pPr>
        <w:pStyle w:val="4"/>
        <w:ind w:right="210"/>
      </w:pPr>
      <w:r>
        <w:rPr>
          <w:rFonts w:hint="eastAsia"/>
        </w:rPr>
        <w:t>内部缺陷无损检测采用超声波探伤检查，应做详细记录并出具检查报告。超声波探伤的检查标准按现行国家标准GB 50205执行。</w:t>
      </w:r>
    </w:p>
    <w:p>
      <w:pPr>
        <w:pStyle w:val="4"/>
        <w:ind w:right="210"/>
      </w:pPr>
      <w:r>
        <w:rPr>
          <w:rFonts w:hint="eastAsia"/>
        </w:rPr>
        <w:t>普通螺栓A、B级螺栓孔(</w:t>
      </w:r>
      <w:r>
        <w:rPr>
          <w:rFonts w:cs="Times New Roman"/>
        </w:rPr>
        <w:t>Ⅰ</w:t>
      </w:r>
      <w:r>
        <w:rPr>
          <w:rFonts w:hint="eastAsia"/>
        </w:rPr>
        <w:t>类孔)应具有H12的精度，高强螺栓孔(</w:t>
      </w:r>
      <w:r>
        <w:rPr>
          <w:rFonts w:cs="Times New Roman"/>
        </w:rPr>
        <w:t>Ⅰ</w:t>
      </w:r>
      <w:r>
        <w:rPr>
          <w:rFonts w:hint="eastAsia"/>
        </w:rPr>
        <w:t>类孔)应具有H15的精度，A、B、C级普通螺栓和高强螺栓的孔径和孔间距离的允许偏差按现行国家标准GB 50205和JGJ 99进行控制。</w:t>
      </w:r>
    </w:p>
    <w:p>
      <w:pPr>
        <w:pStyle w:val="4"/>
        <w:ind w:right="210"/>
      </w:pPr>
      <w:r>
        <w:rPr>
          <w:rFonts w:hint="eastAsia"/>
        </w:rPr>
        <w:t>钢构件外形尺寸主控项目、钢柱外形尺寸、焊接实腹钢梁外形尺寸、钢管构件外形尺寸等的允许偏差按现行国家标准GB 50205进行控制。</w:t>
      </w:r>
    </w:p>
    <w:p>
      <w:pPr>
        <w:pStyle w:val="3"/>
        <w:spacing w:before="120" w:after="120"/>
      </w:pPr>
      <w:bookmarkStart w:id="180" w:name="_Toc186641501"/>
      <w:bookmarkStart w:id="181" w:name="_Toc7157"/>
      <w:r>
        <w:rPr>
          <w:rFonts w:hint="eastAsia"/>
        </w:rPr>
        <w:t>构件的包装、运输和堆放</w:t>
      </w:r>
      <w:bookmarkEnd w:id="180"/>
      <w:bookmarkEnd w:id="181"/>
    </w:p>
    <w:p>
      <w:pPr>
        <w:pStyle w:val="4"/>
        <w:ind w:right="210"/>
      </w:pPr>
      <w:r>
        <w:rPr>
          <w:rFonts w:hint="eastAsia"/>
        </w:rPr>
        <w:t>包装</w:t>
      </w:r>
    </w:p>
    <w:p>
      <w:pPr>
        <w:pStyle w:val="5"/>
      </w:pPr>
      <w:r>
        <w:rPr>
          <w:rFonts w:hint="eastAsia"/>
        </w:rPr>
        <w:t>构件包装是保护产品性能、提高其使用价值的手段，保证构件能够完整无损地进入安装工序，并且使其在经过储存、运输等一系列过程后能够容易被识别和区分。</w:t>
      </w:r>
    </w:p>
    <w:p>
      <w:pPr>
        <w:pStyle w:val="5"/>
      </w:pPr>
      <w:bookmarkStart w:id="182" w:name="_Toc30453"/>
      <w:r>
        <w:rPr>
          <w:rFonts w:hint="eastAsia"/>
        </w:rPr>
        <w:t>构件的外形尺寸和重量应符合公路运输方面的有关规定和要求。</w:t>
      </w:r>
      <w:bookmarkEnd w:id="182"/>
    </w:p>
    <w:p>
      <w:pPr>
        <w:pStyle w:val="5"/>
      </w:pPr>
      <w:r>
        <w:t>构件制作完毕检验合格后应及时分类标识</w:t>
      </w:r>
      <w:r>
        <w:rPr>
          <w:rFonts w:hint="eastAsia"/>
        </w:rPr>
        <w:t>；</w:t>
      </w:r>
      <w:r>
        <w:t>单</w:t>
      </w:r>
      <w:r>
        <w:rPr>
          <w:rFonts w:hint="eastAsia"/>
        </w:rPr>
        <w:t>根构件重</w:t>
      </w:r>
      <w:r>
        <w:t>量</w:t>
      </w:r>
      <w:r>
        <w:rPr>
          <w:rFonts w:hint="eastAsia"/>
        </w:rPr>
        <w:t>不小于</w:t>
      </w:r>
      <w:r>
        <w:t>2吨</w:t>
      </w:r>
      <w:r>
        <w:rPr>
          <w:rFonts w:hint="eastAsia"/>
        </w:rPr>
        <w:t>或小于</w:t>
      </w:r>
      <w:r>
        <w:t>2吨且为不规则构件时</w:t>
      </w:r>
      <w:r>
        <w:rPr>
          <w:rFonts w:hint="eastAsia"/>
        </w:rPr>
        <w:t>应</w:t>
      </w:r>
      <w:r>
        <w:t>采用裸装方式运输</w:t>
      </w:r>
      <w:r>
        <w:rPr>
          <w:rFonts w:hint="eastAsia"/>
        </w:rPr>
        <w:t>。</w:t>
      </w:r>
    </w:p>
    <w:p>
      <w:pPr>
        <w:pStyle w:val="5"/>
      </w:pPr>
      <w:r>
        <w:rPr>
          <w:rFonts w:hint="eastAsia"/>
        </w:rPr>
        <w:t>零配件分类标识打包，各包装体上作好明显标志，零配件应标明名称、数量、生产日期。螺栓、辅材等有可靠的防水、防雨淋措施，</w:t>
      </w:r>
      <w:r>
        <w:t>节点板、高强度螺栓连接面等重要部</w:t>
      </w:r>
      <w:r>
        <w:rPr>
          <w:rFonts w:hint="eastAsia"/>
        </w:rPr>
        <w:t>位</w:t>
      </w:r>
      <w:r>
        <w:t>应得到</w:t>
      </w:r>
      <w:r>
        <w:rPr>
          <w:rFonts w:hint="eastAsia"/>
        </w:rPr>
        <w:t>切实</w:t>
      </w:r>
      <w:r>
        <w:t>保护</w:t>
      </w:r>
      <w:r>
        <w:rPr>
          <w:rFonts w:hint="eastAsia"/>
        </w:rPr>
        <w:t>。</w:t>
      </w:r>
    </w:p>
    <w:p>
      <w:pPr>
        <w:pStyle w:val="5"/>
      </w:pPr>
      <w:r>
        <w:rPr>
          <w:rFonts w:hint="eastAsia"/>
        </w:rPr>
        <w:t>装箱构件在箱内应排列整齐、紧凑、稳妥牢固，不得串动，必要时应将构件固定于箱内，以防在运输和装卸过程中滑动和冲撞，箱的充满度不得小于 80%。</w:t>
      </w:r>
    </w:p>
    <w:p>
      <w:pPr>
        <w:pStyle w:val="5"/>
      </w:pPr>
      <w:bookmarkStart w:id="183" w:name="_Toc11459"/>
      <w:r>
        <w:rPr>
          <w:rFonts w:hint="eastAsia"/>
        </w:rPr>
        <w:t>包装箱上应有方向、重心和起吊标志。</w:t>
      </w:r>
      <w:bookmarkEnd w:id="183"/>
    </w:p>
    <w:p>
      <w:pPr>
        <w:pStyle w:val="4"/>
        <w:ind w:right="210"/>
      </w:pPr>
      <w:bookmarkStart w:id="184" w:name="_Toc17507"/>
      <w:r>
        <w:rPr>
          <w:rFonts w:hint="eastAsia"/>
        </w:rPr>
        <w:t>运输</w:t>
      </w:r>
      <w:bookmarkEnd w:id="184"/>
    </w:p>
    <w:p>
      <w:pPr>
        <w:pStyle w:val="5"/>
      </w:pPr>
      <w:r>
        <w:t>大型或重型构件的运输应根据</w:t>
      </w:r>
      <w:r>
        <w:rPr>
          <w:rFonts w:hint="eastAsia"/>
        </w:rPr>
        <w:t>运输</w:t>
      </w:r>
      <w:r>
        <w:t>路线、运输车辆的性能、码头</w:t>
      </w:r>
      <w:r>
        <w:rPr>
          <w:rFonts w:hint="eastAsia"/>
        </w:rPr>
        <w:t>和</w:t>
      </w:r>
      <w:r>
        <w:t>运输船只状况</w:t>
      </w:r>
      <w:r>
        <w:rPr>
          <w:rFonts w:hint="eastAsia"/>
        </w:rPr>
        <w:t>（或有）等</w:t>
      </w:r>
      <w:r>
        <w:t>编制运输方案。在运输方案中要着重考虑吊装工程的堆放条件、工期要求</w:t>
      </w:r>
      <w:r>
        <w:rPr>
          <w:rFonts w:hint="eastAsia"/>
        </w:rPr>
        <w:t>确定</w:t>
      </w:r>
      <w:r>
        <w:t>构件的运输顺序。若采用铁路或水路运输时，须设置中间堆场临时堆放，再用载重</w:t>
      </w:r>
      <w:r>
        <w:rPr>
          <w:rFonts w:hint="eastAsia"/>
        </w:rPr>
        <w:t>汽</w:t>
      </w:r>
      <w:r>
        <w:t>车或拖车向吊装现场转运</w:t>
      </w:r>
      <w:r>
        <w:rPr>
          <w:rFonts w:hint="eastAsia"/>
        </w:rPr>
        <w:t>。</w:t>
      </w:r>
    </w:p>
    <w:p>
      <w:pPr>
        <w:pStyle w:val="5"/>
      </w:pPr>
      <w:r>
        <w:rPr>
          <w:rFonts w:hint="eastAsia"/>
        </w:rPr>
        <w:t>公路</w:t>
      </w:r>
      <w:r>
        <w:t>运输时，应根据构件的长度、重量</w:t>
      </w:r>
      <w:r>
        <w:rPr>
          <w:rFonts w:hint="eastAsia"/>
        </w:rPr>
        <w:t>和</w:t>
      </w:r>
      <w:r>
        <w:t>断面形状选用车辆</w:t>
      </w:r>
      <w:r>
        <w:rPr>
          <w:rFonts w:hint="eastAsia"/>
        </w:rPr>
        <w:t>。针对超长、超宽、超高构件运输应按照《超限运输车辆行驶公路管理规定》执行。</w:t>
      </w:r>
    </w:p>
    <w:p>
      <w:pPr>
        <w:pStyle w:val="5"/>
      </w:pPr>
      <w:r>
        <w:t>单</w:t>
      </w:r>
      <w:r>
        <w:rPr>
          <w:rFonts w:hint="eastAsia"/>
        </w:rPr>
        <w:t>根构件重量</w:t>
      </w:r>
      <w:r>
        <w:t>超过3</w:t>
      </w:r>
      <w:r>
        <w:rPr>
          <w:rFonts w:hint="eastAsia"/>
        </w:rPr>
        <w:t>吨的</w:t>
      </w:r>
      <w:r>
        <w:t>构件宜在易见部位用油漆标上重量及重心位置的标</w:t>
      </w:r>
      <w:r>
        <w:rPr>
          <w:rFonts w:hint="eastAsia"/>
        </w:rPr>
        <w:t>识，便于</w:t>
      </w:r>
      <w:r>
        <w:t>装、卸车</w:t>
      </w:r>
      <w:r>
        <w:rPr>
          <w:rFonts w:hint="eastAsia"/>
        </w:rPr>
        <w:t>时按规定位置进行起吊。</w:t>
      </w:r>
    </w:p>
    <w:p>
      <w:pPr>
        <w:pStyle w:val="5"/>
      </w:pPr>
      <w:r>
        <w:rPr>
          <w:rFonts w:hint="eastAsia"/>
        </w:rPr>
        <w:t>对高宽比较大或层叠装运的构件，应根据构件外形尺寸和重量设置工具式支承框架、固定架、支撑或倒链等予以固定，以防倾倒，严禁采取悬挂式堆放运输。对支承运输架应进行结构设计，保证其有足够的强度和刚度以及稳定性，并且装卸方便。</w:t>
      </w:r>
    </w:p>
    <w:p>
      <w:pPr>
        <w:pStyle w:val="5"/>
      </w:pPr>
      <w:r>
        <w:t>构件在运输车上的支点</w:t>
      </w:r>
      <w:r>
        <w:rPr>
          <w:rFonts w:hint="eastAsia"/>
        </w:rPr>
        <w:t>设置</w:t>
      </w:r>
      <w:r>
        <w:t>、两端伸出的长度及绑扎方法均要保证构件不产生变形、不损伤母材且保证运输安全</w:t>
      </w:r>
      <w:r>
        <w:rPr>
          <w:rFonts w:hint="eastAsia"/>
        </w:rPr>
        <w:t>。</w:t>
      </w:r>
    </w:p>
    <w:p>
      <w:pPr>
        <w:pStyle w:val="5"/>
      </w:pPr>
      <w:r>
        <w:rPr>
          <w:rFonts w:hint="eastAsia"/>
        </w:rPr>
        <w:t>构件的垫点和装卸车时的吊点，不论上车运输或卸车堆放，都应按设计要求进行。叠放在车上或堆放在现场上的构件，构件之间的垫木要在同一条垂直线上，且厚度相等。</w:t>
      </w:r>
    </w:p>
    <w:p>
      <w:pPr>
        <w:pStyle w:val="5"/>
      </w:pPr>
      <w:r>
        <w:t>构件运输时绑扎必须牢固，防止松动</w:t>
      </w:r>
      <w:r>
        <w:rPr>
          <w:rFonts w:hint="eastAsia"/>
        </w:rPr>
        <w:t>；构件之间、构件与车厢之间应有隔离措施，避免构运输时构件因碰撞而损坏。</w:t>
      </w:r>
    </w:p>
    <w:p>
      <w:pPr>
        <w:pStyle w:val="5"/>
      </w:pPr>
      <w:r>
        <w:rPr>
          <w:rFonts w:hint="eastAsia"/>
        </w:rPr>
        <w:t>构件在装车时与钢丝绳有接触的地方需设置软防护，防止涂装层在装车转运过程中被刮蹭。</w:t>
      </w:r>
    </w:p>
    <w:p>
      <w:pPr>
        <w:pStyle w:val="5"/>
      </w:pPr>
      <w:bookmarkStart w:id="185" w:name="_Toc31320"/>
      <w:r>
        <w:rPr>
          <w:rFonts w:hint="eastAsia"/>
        </w:rPr>
        <w:t>公路运输时装车必须整齐、有序、标识明确、记录完整。</w:t>
      </w:r>
      <w:bookmarkEnd w:id="185"/>
    </w:p>
    <w:p>
      <w:pPr>
        <w:pStyle w:val="5"/>
      </w:pPr>
      <w:r>
        <w:rPr>
          <w:rFonts w:hint="eastAsia"/>
        </w:rPr>
        <w:t>装、卸车起吊构件应轻起轻放，严禁甩掷，运输中严防碰撞或冲击。</w:t>
      </w:r>
    </w:p>
    <w:p>
      <w:pPr>
        <w:pStyle w:val="4"/>
        <w:keepNext w:val="0"/>
        <w:keepLines w:val="0"/>
        <w:ind w:right="210"/>
      </w:pPr>
      <w:r>
        <w:rPr>
          <w:rFonts w:hint="eastAsia"/>
        </w:rPr>
        <w:t>钢构件堆放应符合下列规定：</w:t>
      </w:r>
    </w:p>
    <w:p>
      <w:pPr>
        <w:numPr>
          <w:ilvl w:val="0"/>
          <w:numId w:val="32"/>
        </w:numPr>
        <w:ind w:left="0" w:firstLine="420"/>
      </w:pPr>
      <w:r>
        <w:t>构件</w:t>
      </w:r>
      <w:r>
        <w:rPr>
          <w:rFonts w:hint="eastAsia"/>
        </w:rPr>
        <w:t>宜</w:t>
      </w:r>
      <w:r>
        <w:t>堆放在工厂</w:t>
      </w:r>
      <w:r>
        <w:rPr>
          <w:rFonts w:hint="eastAsia"/>
        </w:rPr>
        <w:t>或现场</w:t>
      </w:r>
      <w:r>
        <w:t>的堆放场</w:t>
      </w:r>
      <w:r>
        <w:rPr>
          <w:rFonts w:hint="eastAsia"/>
        </w:rPr>
        <w:t>地，堆放场地应平整、坚实，并做好相应的防雨、防潮、防污染和排水等措施。</w:t>
      </w:r>
    </w:p>
    <w:p>
      <w:pPr>
        <w:numPr>
          <w:ilvl w:val="0"/>
          <w:numId w:val="32"/>
        </w:numPr>
        <w:ind w:left="0" w:firstLine="420"/>
      </w:pPr>
      <w:r>
        <w:rPr>
          <w:rFonts w:hint="eastAsia"/>
        </w:rPr>
        <w:t>构件堆放</w:t>
      </w:r>
      <w:r>
        <w:t>应</w:t>
      </w:r>
      <w:r>
        <w:rPr>
          <w:rFonts w:hint="eastAsia"/>
        </w:rPr>
        <w:t>根据</w:t>
      </w:r>
      <w:r>
        <w:t>种类、型号、安装顺序划分区域</w:t>
      </w:r>
      <w:r>
        <w:rPr>
          <w:rFonts w:hint="eastAsia"/>
        </w:rPr>
        <w:t>，安插</w:t>
      </w:r>
      <w:r>
        <w:t>标志牌</w:t>
      </w:r>
      <w:r>
        <w:rPr>
          <w:rFonts w:hint="eastAsia"/>
        </w:rPr>
        <w:t>；</w:t>
      </w:r>
      <w:r>
        <w:t>不同类型的构件不</w:t>
      </w:r>
      <w:r>
        <w:rPr>
          <w:rFonts w:hint="eastAsia"/>
        </w:rPr>
        <w:t>应</w:t>
      </w:r>
      <w:r>
        <w:t>堆放在一起</w:t>
      </w:r>
      <w:r>
        <w:rPr>
          <w:rFonts w:hint="eastAsia"/>
        </w:rPr>
        <w:t>，堆放区域划分应考虑构件</w:t>
      </w:r>
      <w:r>
        <w:t>装车发运</w:t>
      </w:r>
      <w:r>
        <w:rPr>
          <w:rFonts w:hint="eastAsia"/>
        </w:rPr>
        <w:t>的方便性</w:t>
      </w:r>
      <w:r>
        <w:t>。</w:t>
      </w:r>
    </w:p>
    <w:p>
      <w:pPr>
        <w:numPr>
          <w:ilvl w:val="0"/>
          <w:numId w:val="32"/>
        </w:numPr>
        <w:ind w:left="0" w:firstLine="420"/>
      </w:pPr>
      <w:r>
        <w:rPr>
          <w:rFonts w:hint="eastAsia"/>
        </w:rPr>
        <w:t>构件堆放应采用垫块</w:t>
      </w:r>
      <w:r>
        <w:t>垫高</w:t>
      </w:r>
      <w:r>
        <w:rPr>
          <w:rFonts w:hint="eastAsia"/>
        </w:rPr>
        <w:t>，</w:t>
      </w:r>
      <w:r>
        <w:t>不得直接置于地</w:t>
      </w:r>
      <w:r>
        <w:rPr>
          <w:rFonts w:hint="eastAsia"/>
        </w:rPr>
        <w:t>面</w:t>
      </w:r>
      <w:r>
        <w:t>上</w:t>
      </w:r>
      <w:r>
        <w:rPr>
          <w:rFonts w:hint="eastAsia"/>
        </w:rPr>
        <w:t>；</w:t>
      </w:r>
      <w:r>
        <w:t>构件底层垫块</w:t>
      </w:r>
      <w:r>
        <w:rPr>
          <w:rFonts w:hint="eastAsia"/>
        </w:rPr>
        <w:t>应</w:t>
      </w:r>
      <w:r>
        <w:t>有足够的支承面</w:t>
      </w:r>
      <w:r>
        <w:rPr>
          <w:rFonts w:hint="eastAsia"/>
        </w:rPr>
        <w:t>和刚度，垫块在构件下的位置宜与吊装时的起吊位置一致；</w:t>
      </w:r>
      <w:r>
        <w:t>堆放的高度应有计算依据</w:t>
      </w:r>
      <w:r>
        <w:rPr>
          <w:rFonts w:hint="eastAsia"/>
        </w:rPr>
        <w:t>，</w:t>
      </w:r>
      <w:r>
        <w:t>以</w:t>
      </w:r>
      <w:r>
        <w:rPr>
          <w:rFonts w:hint="eastAsia"/>
        </w:rPr>
        <w:t>保证堆放</w:t>
      </w:r>
      <w:r>
        <w:t>的构件不产生</w:t>
      </w:r>
      <w:r>
        <w:rPr>
          <w:rFonts w:hint="eastAsia"/>
        </w:rPr>
        <w:t>永久性的</w:t>
      </w:r>
      <w:r>
        <w:t>变形</w:t>
      </w:r>
      <w:r>
        <w:rPr>
          <w:rFonts w:hint="eastAsia"/>
        </w:rPr>
        <w:t>。</w:t>
      </w:r>
    </w:p>
    <w:p>
      <w:pPr>
        <w:numPr>
          <w:ilvl w:val="0"/>
          <w:numId w:val="32"/>
        </w:numPr>
        <w:ind w:left="0" w:firstLine="420"/>
      </w:pPr>
      <w:r>
        <w:rPr>
          <w:rFonts w:hint="eastAsia"/>
        </w:rPr>
        <w:t>重叠堆放构件时，每层构件间的垫块应上下对齐、堆垛层数应根据构件、垫块的承载力确定，并应根据需要采取防止堆垛倾覆的措施。</w:t>
      </w:r>
    </w:p>
    <w:p>
      <w:pPr>
        <w:pStyle w:val="2"/>
        <w:keepNext w:val="0"/>
        <w:keepLines w:val="0"/>
        <w:spacing w:before="240" w:after="240"/>
      </w:pPr>
      <w:bookmarkStart w:id="186" w:name="_Toc185448856"/>
      <w:bookmarkStart w:id="187" w:name="_Toc186641502"/>
      <w:bookmarkStart w:id="188" w:name="_Toc2228"/>
      <w:bookmarkStart w:id="189" w:name="_Toc185448946"/>
      <w:bookmarkStart w:id="190" w:name="_Toc13302"/>
      <w:r>
        <w:rPr>
          <w:rFonts w:hint="eastAsia"/>
        </w:rPr>
        <w:t>结构施工</w:t>
      </w:r>
      <w:bookmarkEnd w:id="186"/>
      <w:bookmarkEnd w:id="187"/>
      <w:bookmarkEnd w:id="188"/>
      <w:bookmarkEnd w:id="189"/>
      <w:bookmarkEnd w:id="190"/>
    </w:p>
    <w:p>
      <w:pPr>
        <w:pStyle w:val="3"/>
        <w:keepNext w:val="0"/>
        <w:keepLines w:val="0"/>
        <w:spacing w:before="120" w:after="120"/>
      </w:pPr>
      <w:bookmarkStart w:id="191" w:name="_Toc9187"/>
      <w:bookmarkStart w:id="192" w:name="_Toc186641503"/>
      <w:bookmarkStart w:id="193" w:name="_Toc26917"/>
      <w:r>
        <w:rPr>
          <w:rFonts w:hint="eastAsia"/>
        </w:rPr>
        <w:t>一般规定</w:t>
      </w:r>
      <w:bookmarkEnd w:id="191"/>
      <w:bookmarkEnd w:id="192"/>
      <w:bookmarkEnd w:id="193"/>
    </w:p>
    <w:p>
      <w:pPr>
        <w:pStyle w:val="4"/>
        <w:ind w:right="210"/>
      </w:pPr>
      <w:r>
        <w:rPr>
          <w:rFonts w:hint="eastAsia"/>
        </w:rPr>
        <w:t>承担装配式混合框架结构施工的单位应具备相应的资质。</w:t>
      </w:r>
    </w:p>
    <w:p>
      <w:pPr>
        <w:pStyle w:val="4"/>
        <w:ind w:right="210"/>
      </w:pPr>
      <w:r>
        <w:rPr>
          <w:rFonts w:hint="eastAsia"/>
        </w:rPr>
        <w:t>装配式混合框架结构施工前应根据工程特点和施工条件编制施工组织设计、专项施工方案，对于复杂、异型结构，应进行施工过程模拟分析并采取相应安全技术措施。</w:t>
      </w:r>
    </w:p>
    <w:p>
      <w:pPr>
        <w:pStyle w:val="4"/>
        <w:ind w:right="210"/>
      </w:pPr>
      <w:r>
        <w:rPr>
          <w:rFonts w:hint="eastAsia"/>
        </w:rPr>
        <w:t>安装前应对钢柱构件、安装用材料及配件查验，确保符合设计文件、本文件及国家、地方现行有关标准的规定。对检验不合格的构件应进行处理，并重新进行检查验收。</w:t>
      </w:r>
    </w:p>
    <w:p>
      <w:pPr>
        <w:pStyle w:val="4"/>
        <w:ind w:right="210"/>
      </w:pPr>
      <w:r>
        <w:rPr>
          <w:rFonts w:hint="eastAsia"/>
        </w:rPr>
        <w:t>钢结构吊装作业必须在起重设备的额定起重量范围内进行。吊装用吊具应按国家现行有关标准的规定进行设计、验算或试验检验合格后，在其额定许用荷载范围内使用。</w:t>
      </w:r>
    </w:p>
    <w:p>
      <w:pPr>
        <w:pStyle w:val="4"/>
        <w:ind w:right="210"/>
      </w:pPr>
      <w:r>
        <w:rPr>
          <w:rFonts w:hint="eastAsia"/>
        </w:rPr>
        <w:t>在装配式混合框架结构的施工全过程中，应采取防止钢柱构件上的建筑附件、预埋件、预埋吊件等损伤或污染的保护措施。如在运输、存放及施工过程中出现损伤，应采用设计允许的方式进行补漆。未经设计允许不得对钢柱构件进行切割、开洞。</w:t>
      </w:r>
    </w:p>
    <w:p>
      <w:pPr>
        <w:pStyle w:val="4"/>
        <w:ind w:right="210"/>
      </w:pPr>
      <w:r>
        <w:rPr>
          <w:rFonts w:hint="eastAsia"/>
        </w:rPr>
        <w:t>装配式混合框架结构施工中应采取相应的管理措施，并应符合环境保护、劳动保护和安全技术方面国家现行有关法规和标准。</w:t>
      </w:r>
    </w:p>
    <w:p>
      <w:pPr>
        <w:pStyle w:val="4"/>
        <w:ind w:right="210"/>
      </w:pPr>
      <w:r>
        <w:rPr>
          <w:rFonts w:hint="eastAsia"/>
        </w:rPr>
        <w:t>模板工程、钢筋工程、混凝土工程、钢结构工程除应符合本节规定外，尚应符合现行国家标准GB 50666、GB/T 51231及GB 50755的有关规定。</w:t>
      </w:r>
    </w:p>
    <w:p>
      <w:pPr>
        <w:pStyle w:val="3"/>
        <w:keepNext w:val="0"/>
        <w:keepLines w:val="0"/>
        <w:spacing w:before="120" w:after="120"/>
      </w:pPr>
      <w:bookmarkStart w:id="194" w:name="_Toc13691"/>
      <w:bookmarkStart w:id="195" w:name="_Toc186641504"/>
      <w:r>
        <w:rPr>
          <w:rFonts w:hint="eastAsia"/>
        </w:rPr>
        <w:t>施工测量</w:t>
      </w:r>
      <w:bookmarkEnd w:id="194"/>
      <w:bookmarkEnd w:id="195"/>
    </w:p>
    <w:p>
      <w:pPr>
        <w:pStyle w:val="4"/>
        <w:ind w:right="210"/>
      </w:pPr>
      <w:r>
        <w:rPr>
          <w:rFonts w:hint="eastAsia"/>
        </w:rPr>
        <w:t>施工测量应符合</w:t>
      </w:r>
      <w:r>
        <w:rPr>
          <w:rFonts w:hint="eastAsia"/>
          <w:lang w:val="zh-CN"/>
        </w:rPr>
        <w:t>现行国家标准</w:t>
      </w:r>
      <w:r>
        <w:rPr>
          <w:rFonts w:hint="eastAsia"/>
        </w:rPr>
        <w:t>GB50026的有关规定，并根据设计施工图结合现场状况与安装要求编制施工测量方案。</w:t>
      </w:r>
    </w:p>
    <w:p>
      <w:pPr>
        <w:pStyle w:val="4"/>
        <w:ind w:right="210"/>
      </w:pPr>
      <w:r>
        <w:rPr>
          <w:rFonts w:hint="eastAsia"/>
        </w:rPr>
        <w:t>钢柱构件安装施工之前应复核构件装配位置、节点连接构造及临时支撑方案等。检查已施工完成结构的质量，并应进行测量放线、设置构件安装定位标志。</w:t>
      </w:r>
    </w:p>
    <w:p>
      <w:pPr>
        <w:pStyle w:val="4"/>
        <w:ind w:right="21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建筑施工采用的测量器具，应按国家计量部门的有关规定进行检定、校准，合格后方可使用。测量仪器的精度应满足</w:t>
      </w:r>
      <w:r>
        <w:rPr>
          <w:rFonts w:hint="eastAsia"/>
          <w:lang w:val="zh-CN"/>
        </w:rPr>
        <w:t>现行国家标准</w:t>
      </w:r>
      <w:r>
        <w:rPr>
          <w:rFonts w:hint="eastAsia"/>
        </w:rPr>
        <w:t>GB 50026</w:t>
      </w:r>
      <w:r>
        <w:rPr>
          <w:rFonts w:hint="eastAsia"/>
          <w:color w:val="000000" w:themeColor="text1"/>
          <w14:textFill>
            <w14:solidFill>
              <w14:schemeClr w14:val="tx1"/>
            </w14:solidFill>
          </w14:textFill>
        </w:rPr>
        <w:t>的相关要求。</w:t>
      </w:r>
    </w:p>
    <w:p>
      <w:pPr>
        <w:pStyle w:val="4"/>
        <w:ind w:right="210"/>
        <w:rPr>
          <w:lang w:val="zh-CN"/>
        </w:rPr>
      </w:pPr>
      <w:r>
        <w:rPr>
          <w:rFonts w:hint="eastAsia"/>
        </w:rPr>
        <w:t>建筑施工项目，应先建立项目整体平面控制网，再分别建立建筑物单体平面控制网；小规模的独立施工项目可直接布设建筑物平面控制网。平面控制网应符合</w:t>
      </w:r>
      <w:r>
        <w:rPr>
          <w:rFonts w:hint="eastAsia"/>
          <w:lang w:val="zh-CN"/>
        </w:rPr>
        <w:t>现行国家标准</w:t>
      </w:r>
      <w:r>
        <w:rPr>
          <w:rFonts w:hint="eastAsia"/>
        </w:rPr>
        <w:t>GB 50026</w:t>
      </w:r>
      <w:r>
        <w:rPr>
          <w:rFonts w:hint="eastAsia"/>
          <w:color w:val="000000" w:themeColor="text1"/>
          <w14:textFill>
            <w14:solidFill>
              <w14:schemeClr w14:val="tx1"/>
            </w14:solidFill>
          </w14:textFill>
        </w:rPr>
        <w:t>的相关规定。</w:t>
      </w:r>
    </w:p>
    <w:p>
      <w:pPr>
        <w:pStyle w:val="4"/>
        <w:ind w:right="210"/>
      </w:pPr>
      <w:r>
        <w:rPr>
          <w:rFonts w:hint="eastAsia"/>
        </w:rPr>
        <w:t>轻钢免拆模壳钢筋一体化柱构件安装施工之前应复核构件装配位置及临时支撑方案。检查已施工完成结构标高及钢筋定位情况，并进行测量放线。根据原始轴线控制点及标高控制点对现场进行轴线和标高控制点的加密，然后再测放出每个柱构件的定位控制线。</w:t>
      </w:r>
    </w:p>
    <w:p>
      <w:pPr>
        <w:pStyle w:val="3"/>
        <w:keepNext w:val="0"/>
        <w:keepLines w:val="0"/>
        <w:spacing w:before="120" w:after="120"/>
      </w:pPr>
      <w:bookmarkStart w:id="196" w:name="_Toc186641505"/>
      <w:bookmarkStart w:id="197" w:name="_Toc263"/>
      <w:r>
        <w:rPr>
          <w:rFonts w:hint="eastAsia"/>
        </w:rPr>
        <w:t>构件吊装</w:t>
      </w:r>
      <w:bookmarkEnd w:id="196"/>
      <w:bookmarkEnd w:id="197"/>
    </w:p>
    <w:p>
      <w:pPr>
        <w:pStyle w:val="4"/>
        <w:keepNext w:val="0"/>
        <w:keepLines w:val="0"/>
        <w:ind w:right="210"/>
        <w:rPr>
          <w:lang w:val="zh-CN"/>
        </w:rPr>
      </w:pPr>
      <w:r>
        <w:rPr>
          <w:rFonts w:hint="eastAsia"/>
        </w:rPr>
        <w:t>钢构件吊装前应根据构件形状、尺寸、重量和作业半径等要求选择吊具和起重设备，宜采用塔式起重机等定型吊具，不宜采用卷扬机、千金顶等非定型吊具。吊具和起重设备应符合现行国家标准JGJ 276的有关规定。</w:t>
      </w:r>
    </w:p>
    <w:p>
      <w:pPr>
        <w:pStyle w:val="4"/>
        <w:keepNext w:val="0"/>
        <w:keepLines w:val="0"/>
        <w:ind w:right="210"/>
        <w:rPr>
          <w:lang w:val="zh-CN"/>
        </w:rPr>
      </w:pPr>
      <w:r>
        <w:rPr>
          <w:rFonts w:hint="eastAsia"/>
        </w:rPr>
        <w:t>施工单位应编制构件吊装专项施工方案，报监理单位审核由总监理工程师签字后实施。当采用非常规起重设备、方法，且单件起吊重量在100kN及以上的起重吊装工程专项施工方案应按规定组织专家论证。</w:t>
      </w:r>
    </w:p>
    <w:p>
      <w:pPr>
        <w:pStyle w:val="4"/>
        <w:keepNext w:val="0"/>
        <w:keepLines w:val="0"/>
        <w:ind w:right="210"/>
        <w:rPr>
          <w:lang w:val="zh-CN"/>
        </w:rPr>
      </w:pPr>
      <w:r>
        <w:rPr>
          <w:rFonts w:hint="eastAsia"/>
        </w:rPr>
        <w:t>钢柱构件吊装拼接前，应采取措施保证对接面紧密接触；吊装时，吊点宜设置在钢柱顶部，上口应包封；吊装后进行柱体垂直度校正且确定安装节中心线满足设计要求后进行永久性连接。同时吊装应符合现行国家标准JGJ 276里相关规定。</w:t>
      </w:r>
    </w:p>
    <w:p>
      <w:pPr>
        <w:pStyle w:val="4"/>
        <w:keepNext w:val="0"/>
        <w:keepLines w:val="0"/>
        <w:ind w:right="210"/>
      </w:pPr>
      <w:r>
        <w:rPr>
          <w:rFonts w:hint="eastAsia"/>
        </w:rPr>
        <w:t>RC-SB结构构件的吊装除应符合现行国家标准GB/T 51231、GB 50755 和JGJ 276的有关规定外，还应符合下列规定：</w:t>
      </w:r>
    </w:p>
    <w:p>
      <w:pPr>
        <w:numPr>
          <w:ilvl w:val="0"/>
          <w:numId w:val="33"/>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在吊装前，须将免拆模壳与柱钢筋完成一体化拼装形成柱吊装单体构件；</w:t>
      </w:r>
    </w:p>
    <w:p>
      <w:pPr>
        <w:numPr>
          <w:ilvl w:val="0"/>
          <w:numId w:val="33"/>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构件应按照吊装顺序预先编号，严格按照编号顺序吊装；</w:t>
      </w:r>
    </w:p>
    <w:p>
      <w:pPr>
        <w:numPr>
          <w:ilvl w:val="0"/>
          <w:numId w:val="33"/>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各类构件正式起吊前宜进行试吊，检查吊装情况无异常方可起吊；</w:t>
      </w:r>
    </w:p>
    <w:p>
      <w:pPr>
        <w:numPr>
          <w:ilvl w:val="0"/>
          <w:numId w:val="33"/>
        </w:numPr>
        <w:ind w:left="0" w:firstLine="420"/>
      </w:pPr>
      <w:r>
        <w:rPr>
          <w:rFonts w:hint="eastAsia"/>
          <w:color w:val="000000" w:themeColor="text1"/>
          <w:lang w:val="zh-CN"/>
          <w14:textFill>
            <w14:solidFill>
              <w14:schemeClr w14:val="tx1"/>
            </w14:solidFill>
          </w14:textFill>
        </w:rPr>
        <w:t>在吊装时，柱构件吊装单体的落位工法需满足柱纵向钢筋进行机械连接的操作空间要求。</w:t>
      </w:r>
    </w:p>
    <w:p>
      <w:pPr>
        <w:pStyle w:val="3"/>
        <w:keepNext w:val="0"/>
        <w:keepLines w:val="0"/>
        <w:spacing w:before="120" w:after="120"/>
      </w:pPr>
      <w:bookmarkStart w:id="198" w:name="_Toc186641506"/>
      <w:bookmarkStart w:id="199" w:name="_Toc28693"/>
      <w:r>
        <w:rPr>
          <w:rFonts w:hint="eastAsia"/>
        </w:rPr>
        <w:t>安装施工</w:t>
      </w:r>
      <w:bookmarkEnd w:id="198"/>
      <w:bookmarkEnd w:id="199"/>
    </w:p>
    <w:p>
      <w:pPr>
        <w:pStyle w:val="4"/>
        <w:keepNext w:val="0"/>
        <w:keepLines w:val="0"/>
        <w:ind w:right="210"/>
        <w:rPr>
          <w:lang w:val="zh-CN"/>
        </w:rPr>
      </w:pPr>
      <w:r>
        <w:rPr>
          <w:rFonts w:hint="eastAsia"/>
        </w:rPr>
        <w:t>现场混凝土浇筑施工应符合下列规定：</w:t>
      </w:r>
    </w:p>
    <w:p>
      <w:pPr>
        <w:numPr>
          <w:ilvl w:val="0"/>
          <w:numId w:val="34"/>
        </w:numPr>
        <w:ind w:left="0" w:firstLine="420" w:firstLineChars="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钢管</w:t>
      </w:r>
      <w:r>
        <w:rPr>
          <w:rFonts w:hint="eastAsia"/>
          <w:color w:val="000000" w:themeColor="text1"/>
          <w14:textFill>
            <w14:solidFill>
              <w14:schemeClr w14:val="tx1"/>
            </w14:solidFill>
          </w14:textFill>
        </w:rPr>
        <w:t>混凝土</w:t>
      </w:r>
      <w:r>
        <w:rPr>
          <w:rFonts w:hint="eastAsia"/>
          <w:color w:val="000000" w:themeColor="text1"/>
          <w:lang w:val="zh-CN"/>
          <w14:textFill>
            <w14:solidFill>
              <w14:schemeClr w14:val="tx1"/>
            </w14:solidFill>
          </w14:textFill>
        </w:rPr>
        <w:t>柱</w:t>
      </w:r>
      <w:r>
        <w:rPr>
          <w:rFonts w:hint="eastAsia"/>
          <w:color w:val="000000" w:themeColor="text1"/>
          <w14:textFill>
            <w14:solidFill>
              <w14:schemeClr w14:val="tx1"/>
            </w14:solidFill>
          </w14:textFill>
        </w:rPr>
        <w:t>及</w:t>
      </w:r>
      <w:r>
        <w:rPr>
          <w:rFonts w:hint="eastAsia"/>
        </w:rPr>
        <w:t>装配式钢筋混凝土柱</w:t>
      </w:r>
      <w:r>
        <w:rPr>
          <w:rFonts w:hint="eastAsia"/>
          <w:color w:val="000000" w:themeColor="text1"/>
          <w:lang w:val="zh-CN"/>
          <w14:textFill>
            <w14:solidFill>
              <w14:schemeClr w14:val="tx1"/>
            </w14:solidFill>
          </w14:textFill>
        </w:rPr>
        <w:t>内</w:t>
      </w:r>
      <w:r>
        <w:rPr>
          <w:rFonts w:hint="eastAsia"/>
          <w:color w:val="000000" w:themeColor="text1"/>
          <w14:textFill>
            <w14:solidFill>
              <w14:schemeClr w14:val="tx1"/>
            </w14:solidFill>
          </w14:textFill>
        </w:rPr>
        <w:t>混凝土浇筑宜使用高抛法。混凝土宜</w:t>
      </w:r>
      <w:r>
        <w:rPr>
          <w:rFonts w:hint="eastAsia"/>
          <w:color w:val="000000" w:themeColor="text1"/>
          <w:lang w:val="zh-CN"/>
          <w14:textFill>
            <w14:solidFill>
              <w14:schemeClr w14:val="tx1"/>
            </w14:solidFill>
          </w14:textFill>
        </w:rPr>
        <w:t>选用自密实混凝土，每层分两次浇筑，第一次</w:t>
      </w:r>
      <w:r>
        <w:rPr>
          <w:rFonts w:hint="eastAsia"/>
          <w:color w:val="000000" w:themeColor="text1"/>
          <w14:textFill>
            <w14:solidFill>
              <w14:schemeClr w14:val="tx1"/>
            </w14:solidFill>
          </w14:textFill>
        </w:rPr>
        <w:t>宜</w:t>
      </w:r>
      <w:r>
        <w:rPr>
          <w:rFonts w:hint="eastAsia"/>
          <w:color w:val="000000" w:themeColor="text1"/>
          <w:lang w:val="zh-CN"/>
          <w14:textFill>
            <w14:solidFill>
              <w14:schemeClr w14:val="tx1"/>
            </w14:solidFill>
          </w14:textFill>
        </w:rPr>
        <w:t>浇筑至梁底</w:t>
      </w:r>
      <w:r>
        <w:rPr>
          <w:rFonts w:hint="eastAsia"/>
          <w:color w:val="000000" w:themeColor="text1"/>
          <w14:textFill>
            <w14:solidFill>
              <w14:schemeClr w14:val="tx1"/>
            </w14:solidFill>
          </w14:textFill>
        </w:rPr>
        <w:t>0~</w:t>
      </w:r>
      <w:r>
        <w:rPr>
          <w:rFonts w:hint="eastAsia"/>
          <w:color w:val="000000" w:themeColor="text1"/>
          <w:lang w:val="zh-CN"/>
          <w14:textFill>
            <w14:solidFill>
              <w14:schemeClr w14:val="tx1"/>
            </w14:solidFill>
          </w14:textFill>
        </w:rPr>
        <w:t>100mm， 第二次浇筑至梁顶标高。混凝土浇筑</w:t>
      </w:r>
      <w:r>
        <w:rPr>
          <w:rFonts w:hint="eastAsia"/>
          <w:color w:val="000000" w:themeColor="text1"/>
          <w14:textFill>
            <w14:solidFill>
              <w14:schemeClr w14:val="tx1"/>
            </w14:solidFill>
          </w14:textFill>
        </w:rPr>
        <w:t>宜采用</w:t>
      </w:r>
      <w:r>
        <w:rPr>
          <w:rFonts w:hint="eastAsia"/>
          <w:color w:val="000000" w:themeColor="text1"/>
          <w:lang w:val="zh-CN"/>
          <w14:textFill>
            <w14:solidFill>
              <w14:schemeClr w14:val="tx1"/>
            </w14:solidFill>
          </w14:textFill>
        </w:rPr>
        <w:t>“塔吊+料斗+软管”</w:t>
      </w:r>
      <w:r>
        <w:rPr>
          <w:rFonts w:hint="eastAsia"/>
          <w:color w:val="000000" w:themeColor="text1"/>
          <w14:textFill>
            <w14:solidFill>
              <w14:schemeClr w14:val="tx1"/>
            </w14:solidFill>
          </w14:textFill>
        </w:rPr>
        <w:t>的方法进行</w:t>
      </w:r>
      <w:r>
        <w:rPr>
          <w:rFonts w:hint="eastAsia"/>
          <w:color w:val="000000" w:themeColor="text1"/>
          <w:lang w:val="zh-CN"/>
          <w14:textFill>
            <w14:solidFill>
              <w14:schemeClr w14:val="tx1"/>
            </w14:solidFill>
          </w14:textFill>
        </w:rPr>
        <w:t>浇筑，保证混凝土自由下落高度不超过2</w:t>
      </w:r>
      <w:r>
        <w:rPr>
          <w:rFonts w:hint="eastAsia"/>
          <w:color w:val="000000" w:themeColor="text1"/>
          <w14:textFill>
            <w14:solidFill>
              <w14:schemeClr w14:val="tx1"/>
            </w14:solidFill>
          </w14:textFill>
        </w:rPr>
        <w:t>m</w:t>
      </w:r>
      <w:r>
        <w:rPr>
          <w:rFonts w:hint="eastAsia"/>
          <w:color w:val="000000" w:themeColor="text1"/>
          <w:lang w:val="zh-CN"/>
          <w14:textFill>
            <w14:solidFill>
              <w14:schemeClr w14:val="tx1"/>
            </w14:solidFill>
          </w14:textFill>
        </w:rPr>
        <w:t>，防止离析。第一次浇筑柱内梁下区域时，</w:t>
      </w:r>
      <w:r>
        <w:rPr>
          <w:rFonts w:hint="eastAsia"/>
          <w:color w:val="000000" w:themeColor="text1"/>
          <w14:textFill>
            <w14:solidFill>
              <w14:schemeClr w14:val="tx1"/>
            </w14:solidFill>
          </w14:textFill>
        </w:rPr>
        <w:t>利用</w:t>
      </w:r>
      <w:r>
        <w:rPr>
          <w:rFonts w:hint="eastAsia"/>
          <w:color w:val="000000" w:themeColor="text1"/>
          <w:lang w:val="zh-CN"/>
          <w14:textFill>
            <w14:solidFill>
              <w14:schemeClr w14:val="tx1"/>
            </w14:solidFill>
          </w14:textFill>
        </w:rPr>
        <w:t>混凝土</w:t>
      </w:r>
      <w:r>
        <w:rPr>
          <w:rFonts w:hint="eastAsia"/>
          <w:color w:val="000000" w:themeColor="text1"/>
          <w14:textFill>
            <w14:solidFill>
              <w14:schemeClr w14:val="tx1"/>
            </w14:solidFill>
          </w14:textFill>
        </w:rPr>
        <w:t>抛落的动能自重实现</w:t>
      </w:r>
      <w:r>
        <w:rPr>
          <w:rFonts w:hint="eastAsia"/>
          <w:color w:val="000000" w:themeColor="text1"/>
          <w:lang w:val="zh-CN"/>
          <w14:textFill>
            <w14:solidFill>
              <w14:schemeClr w14:val="tx1"/>
            </w14:solidFill>
          </w14:textFill>
        </w:rPr>
        <w:t>材料的自密实；第二次浇筑梁柱节点核心区域时，柱内采用小型振动棒</w:t>
      </w:r>
      <w:r>
        <w:rPr>
          <w:rFonts w:hint="eastAsia"/>
          <w:color w:val="000000" w:themeColor="text1"/>
          <w14:textFill>
            <w14:solidFill>
              <w14:schemeClr w14:val="tx1"/>
            </w14:solidFill>
          </w14:textFill>
        </w:rPr>
        <w:t>在狭窄部位</w:t>
      </w:r>
      <w:r>
        <w:rPr>
          <w:rFonts w:hint="eastAsia"/>
          <w:color w:val="000000" w:themeColor="text1"/>
          <w:lang w:val="zh-CN"/>
          <w14:textFill>
            <w14:solidFill>
              <w14:schemeClr w14:val="tx1"/>
            </w14:solidFill>
          </w14:textFill>
        </w:rPr>
        <w:t>振捣。</w:t>
      </w:r>
      <w:r>
        <w:rPr>
          <w:rFonts w:hint="eastAsia"/>
          <w:color w:val="000000" w:themeColor="text1"/>
          <w14:textFill>
            <w14:solidFill>
              <w14:schemeClr w14:val="tx1"/>
            </w14:solidFill>
          </w14:textFill>
        </w:rPr>
        <w:t>若选用其他混凝土则应采取可靠振捣方式。</w:t>
      </w:r>
    </w:p>
    <w:p>
      <w:pPr>
        <w:numPr>
          <w:ilvl w:val="0"/>
          <w:numId w:val="34"/>
        </w:numPr>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浇筑梁柱节点时存在梁柱混凝土标号不一致情况时宜在梁柱界面使用快易收口网形成粗粒界面。绑扎钢筋时，直径小于12mm的钢筋可直接穿过快宜收口网孔洞，直径大于12mm钢筋应严格控制钢筋穿过快宜收口网时剪开孔洞尺寸。</w:t>
      </w:r>
    </w:p>
    <w:p>
      <w:pPr>
        <w:numPr>
          <w:ilvl w:val="0"/>
          <w:numId w:val="34"/>
        </w:numPr>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由于混凝土的收缩与徐变，顶层柱头应采用防水加强措施。宜设置卷材或涂膜附加层，附加层伸入屋面宽度不小于250mm；</w:t>
      </w:r>
    </w:p>
    <w:p>
      <w:pPr>
        <w:numPr>
          <w:ilvl w:val="0"/>
          <w:numId w:val="34"/>
        </w:numPr>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同批浇筑的每一强度混凝土应至少留置两组</w:t>
      </w:r>
      <w:r>
        <w:rPr>
          <w:rFonts w:hint="eastAsia"/>
          <w:color w:val="000000" w:themeColor="text1"/>
          <w:lang w:val="zh-CN"/>
          <w14:textFill>
            <w14:solidFill>
              <w14:schemeClr w14:val="tx1"/>
            </w14:solidFill>
          </w14:textFill>
        </w:rPr>
        <w:t>混凝土试块，及时监测混凝土强度。管内混凝土的浇筑质量，可用敲击钢管的方法进行</w:t>
      </w:r>
      <w:r>
        <w:rPr>
          <w:rFonts w:hint="eastAsia"/>
          <w:color w:val="000000" w:themeColor="text1"/>
          <w14:textFill>
            <w14:solidFill>
              <w14:schemeClr w14:val="tx1"/>
            </w14:solidFill>
          </w14:textFill>
        </w:rPr>
        <w:t>全数</w:t>
      </w:r>
      <w:r>
        <w:rPr>
          <w:rFonts w:hint="eastAsia"/>
          <w:color w:val="000000" w:themeColor="text1"/>
          <w:lang w:val="zh-CN"/>
          <w14:textFill>
            <w14:solidFill>
              <w14:schemeClr w14:val="tx1"/>
            </w14:solidFill>
          </w14:textFill>
        </w:rPr>
        <w:t>检查</w:t>
      </w:r>
      <w:r>
        <w:rPr>
          <w:rFonts w:hint="eastAsia"/>
          <w:color w:val="000000" w:themeColor="text1"/>
          <w14:textFill>
            <w14:solidFill>
              <w14:schemeClr w14:val="tx1"/>
            </w14:solidFill>
          </w14:textFill>
        </w:rPr>
        <w:t>并形成检查记录。</w:t>
      </w:r>
      <w:r>
        <w:rPr>
          <w:rFonts w:hint="eastAsia"/>
          <w:color w:val="000000" w:themeColor="text1"/>
          <w:lang w:val="zh-CN"/>
          <w14:textFill>
            <w14:solidFill>
              <w14:schemeClr w14:val="tx1"/>
            </w14:solidFill>
          </w14:textFill>
        </w:rPr>
        <w:t>如有异常，对不密实的部位可用钻孔压浆法进行补强，然后将钻孔补焊封固。</w:t>
      </w:r>
    </w:p>
    <w:p>
      <w:pPr>
        <w:pStyle w:val="4"/>
        <w:keepNext w:val="0"/>
        <w:keepLines w:val="0"/>
        <w:ind w:right="210"/>
        <w:rPr>
          <w:lang w:val="zh-CN"/>
        </w:rPr>
      </w:pPr>
      <w:r>
        <w:rPr>
          <w:rFonts w:hint="eastAsia"/>
        </w:rPr>
        <w:t>RC-SB结构构件吊装就位后，应及时校准并采取临时固定措施，应符合下列规定：</w:t>
      </w:r>
    </w:p>
    <w:p>
      <w:pPr>
        <w:numPr>
          <w:ilvl w:val="0"/>
          <w:numId w:val="35"/>
        </w:numPr>
        <w:ind w:left="0" w:firstLine="420" w:firstLineChars="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装配式钢筋混凝土柱构件安装就位后应对安装位置、安装标高、垂直度进行校核与调整；</w:t>
      </w:r>
    </w:p>
    <w:p>
      <w:pPr>
        <w:numPr>
          <w:ilvl w:val="0"/>
          <w:numId w:val="35"/>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钢梁安装就位后，应装入螺栓临时固定，应对安装位置、安装标高进行校核与调整；</w:t>
      </w:r>
    </w:p>
    <w:p>
      <w:pPr>
        <w:numPr>
          <w:ilvl w:val="0"/>
          <w:numId w:val="35"/>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安装钢框架梁时，应对柱的垂直度进行监测和及时校正，避免因梁连接影响而产生过大的垂直度变化；</w:t>
      </w:r>
    </w:p>
    <w:p>
      <w:pPr>
        <w:numPr>
          <w:ilvl w:val="0"/>
          <w:numId w:val="35"/>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临时支撑系统应具有足够的强度、刚度和整体稳定性，应按</w:t>
      </w:r>
      <w:r>
        <w:rPr>
          <w:rFonts w:hint="eastAsia"/>
          <w:color w:val="000000" w:themeColor="text1"/>
          <w14:textFill>
            <w14:solidFill>
              <w14:schemeClr w14:val="tx1"/>
            </w14:solidFill>
          </w14:textFill>
        </w:rPr>
        <w:t>现行国家标准</w:t>
      </w:r>
      <w:r>
        <w:rPr>
          <w:rFonts w:hint="eastAsia"/>
          <w:color w:val="000000" w:themeColor="text1"/>
          <w:lang w:val="zh-CN"/>
          <w14:textFill>
            <w14:solidFill>
              <w14:schemeClr w14:val="tx1"/>
            </w14:solidFill>
          </w14:textFill>
        </w:rPr>
        <w:t>GB 50666 的有关规定进行验算；</w:t>
      </w:r>
    </w:p>
    <w:p>
      <w:pPr>
        <w:numPr>
          <w:ilvl w:val="0"/>
          <w:numId w:val="35"/>
        </w:numPr>
        <w:ind w:left="0" w:firstLine="4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临时支撑系统应具有一定的可调节性，便于结构框架整体安装后对柱构件的垂直度进行微调；</w:t>
      </w:r>
    </w:p>
    <w:p>
      <w:pPr>
        <w:numPr>
          <w:ilvl w:val="0"/>
          <w:numId w:val="35"/>
        </w:numPr>
        <w:ind w:left="0" w:firstLine="420"/>
        <w:rPr>
          <w:bCs/>
          <w:szCs w:val="32"/>
        </w:rPr>
      </w:pPr>
      <w:r>
        <w:rPr>
          <w:rFonts w:hint="eastAsia"/>
          <w:color w:val="000000" w:themeColor="text1"/>
          <w:lang w:val="zh-CN"/>
          <w14:textFill>
            <w14:solidFill>
              <w14:schemeClr w14:val="tx1"/>
            </w14:solidFill>
          </w14:textFill>
        </w:rPr>
        <w:t>吊具与构件的分离应在校准定位及临时支撑安装完成后进行。</w:t>
      </w:r>
    </w:p>
    <w:p>
      <w:pPr>
        <w:pStyle w:val="4"/>
        <w:keepNext w:val="0"/>
        <w:keepLines w:val="0"/>
        <w:ind w:right="210"/>
      </w:pPr>
      <w:r>
        <w:rPr>
          <w:rFonts w:hint="eastAsia"/>
        </w:rPr>
        <w:t>RC-SB结构临时支撑系统的设置及拆除应符合下列规定：</w:t>
      </w:r>
    </w:p>
    <w:p>
      <w:pPr>
        <w:numPr>
          <w:ilvl w:val="0"/>
          <w:numId w:val="36"/>
        </w:numPr>
        <w:ind w:left="0" w:firstLine="420" w:firstLineChars="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单柱构件的临时支撑不宜少于2道，应设置在两个相邻的侧面上，其水平投影互相垂直；</w:t>
      </w:r>
    </w:p>
    <w:p>
      <w:pPr>
        <w:numPr>
          <w:ilvl w:val="0"/>
          <w:numId w:val="36"/>
        </w:numPr>
        <w:ind w:left="0" w:firstLine="420" w:firstLineChars="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上部支撑点与柱底的距离不宜小于柱高的 2/3，且不应小于柱高的 1/2；</w:t>
      </w:r>
    </w:p>
    <w:p>
      <w:pPr>
        <w:numPr>
          <w:ilvl w:val="0"/>
          <w:numId w:val="36"/>
        </w:numPr>
        <w:ind w:left="0" w:firstLine="420" w:firstLineChars="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支撑应与单柱构件及地面或楼面可靠连接；</w:t>
      </w:r>
    </w:p>
    <w:p>
      <w:pPr>
        <w:numPr>
          <w:ilvl w:val="0"/>
          <w:numId w:val="36"/>
        </w:numPr>
        <w:ind w:left="0" w:firstLine="420" w:firstLineChars="0"/>
        <w:rPr>
          <w:lang w:val="zh-CN"/>
        </w:rPr>
      </w:pPr>
      <w:r>
        <w:rPr>
          <w:rFonts w:hint="eastAsia"/>
          <w:color w:val="000000" w:themeColor="text1"/>
          <w:lang w:val="zh-CN"/>
          <w14:textFill>
            <w14:solidFill>
              <w14:schemeClr w14:val="tx1"/>
            </w14:solidFill>
          </w14:textFill>
        </w:rPr>
        <w:t>柱构件内浇筑混凝土的强度达到施工图设计要求强度的75%后，方可拆除临时支撑系统。</w:t>
      </w:r>
    </w:p>
    <w:p>
      <w:pPr>
        <w:pStyle w:val="4"/>
        <w:keepNext w:val="0"/>
        <w:keepLines w:val="0"/>
        <w:ind w:right="210"/>
      </w:pPr>
      <w:r>
        <w:rPr>
          <w:rFonts w:hint="eastAsia"/>
        </w:rPr>
        <w:t>针对RC-SB结构，钢梁与装配式钢筋混凝土柱构件之间的焊接和螺栓连接的施工应符合</w:t>
      </w:r>
      <w:r>
        <w:rPr>
          <w:rFonts w:hint="eastAsia"/>
          <w:color w:val="000000" w:themeColor="text1"/>
          <w14:textFill>
            <w14:solidFill>
              <w14:schemeClr w14:val="tx1"/>
            </w14:solidFill>
          </w14:textFill>
        </w:rPr>
        <w:t>现行国家标准</w:t>
      </w:r>
      <w:r>
        <w:rPr>
          <w:rFonts w:hint="eastAsia"/>
        </w:rPr>
        <w:t>GB 50755、GB 50661及JGJ 82 的有关规定。焊接施工时，应采取措施避免损伤已安装完成的柱免拆模壳钢构件。</w:t>
      </w:r>
    </w:p>
    <w:p>
      <w:pPr>
        <w:pStyle w:val="3"/>
        <w:keepNext w:val="0"/>
        <w:keepLines w:val="0"/>
        <w:spacing w:before="120" w:after="120"/>
      </w:pPr>
      <w:bookmarkStart w:id="200" w:name="_Toc186641507"/>
      <w:r>
        <w:rPr>
          <w:rFonts w:hint="eastAsia"/>
        </w:rPr>
        <w:t>施工安全和环境保护</w:t>
      </w:r>
      <w:bookmarkEnd w:id="200"/>
    </w:p>
    <w:p>
      <w:pPr>
        <w:pStyle w:val="4"/>
        <w:keepNext w:val="0"/>
        <w:keepLines w:val="0"/>
        <w:ind w:right="210"/>
      </w:pPr>
      <w:r>
        <w:rPr>
          <w:rFonts w:hint="eastAsia"/>
        </w:rPr>
        <w:t>施工过程中应按</w:t>
      </w:r>
      <w:r>
        <w:rPr>
          <w:rFonts w:hint="eastAsia"/>
          <w:color w:val="000000" w:themeColor="text1"/>
          <w14:textFill>
            <w14:solidFill>
              <w14:schemeClr w14:val="tx1"/>
            </w14:solidFill>
          </w14:textFill>
        </w:rPr>
        <w:t>现行国家标准</w:t>
      </w:r>
      <w:r>
        <w:rPr>
          <w:rFonts w:hint="eastAsia"/>
        </w:rPr>
        <w:t>GB/T 50640和JGJ 33、JGJ 46、JGJ 59、JGJ 80和JGJ 146的有关规定执行。</w:t>
      </w:r>
    </w:p>
    <w:p>
      <w:pPr>
        <w:pStyle w:val="4"/>
        <w:keepNext w:val="0"/>
        <w:keepLines w:val="0"/>
        <w:ind w:right="210"/>
      </w:pPr>
      <w:r>
        <w:rPr>
          <w:rFonts w:hint="eastAsia"/>
        </w:rPr>
        <w:t>作业人员应进行安全生产教育与培训，未经安全生产和教育培训合格的作业人员均不得上岗作业。</w:t>
      </w:r>
    </w:p>
    <w:p>
      <w:pPr>
        <w:pStyle w:val="4"/>
        <w:keepNext w:val="0"/>
        <w:keepLines w:val="0"/>
        <w:ind w:right="210"/>
      </w:pPr>
      <w:r>
        <w:rPr>
          <w:rFonts w:hint="eastAsia"/>
        </w:rPr>
        <w:t>吊装用吊具应按国家现行有关标准进行设计、验算或试验校验，确认可靠后，方可使用。应定期对吊装作业所用的机具进行检查，发现有可能存在的使用风险，应立即停止使用。</w:t>
      </w:r>
    </w:p>
    <w:p>
      <w:pPr>
        <w:pStyle w:val="4"/>
        <w:keepNext w:val="0"/>
        <w:keepLines w:val="0"/>
        <w:ind w:right="210"/>
      </w:pPr>
      <w:r>
        <w:rPr>
          <w:rFonts w:hint="eastAsia"/>
        </w:rPr>
        <w:t>钢构件吊装应采用慢起、快升、缓放的操作方式；起吊应依次逐级增加速度，不应越档操作。雨、雪、雾天气，或者风力大于5级时，不应吊装钢构件。</w:t>
      </w:r>
    </w:p>
    <w:p>
      <w:pPr>
        <w:pStyle w:val="4"/>
        <w:keepNext w:val="0"/>
        <w:keepLines w:val="0"/>
        <w:ind w:right="210"/>
      </w:pPr>
      <w:r>
        <w:rPr>
          <w:rFonts w:hint="eastAsia"/>
        </w:rPr>
        <w:t>施工区域应配置消防设施和器材，设置消防安全标志，并定期检验、维修，消防设施和器材应完好、有效。</w:t>
      </w:r>
    </w:p>
    <w:p>
      <w:pPr>
        <w:pStyle w:val="4"/>
        <w:keepNext w:val="0"/>
        <w:keepLines w:val="0"/>
        <w:ind w:right="210"/>
      </w:pPr>
      <w:r>
        <w:rPr>
          <w:rFonts w:hint="eastAsia"/>
        </w:rPr>
        <w:t>施工现场应设立可靠的避雷装置。</w:t>
      </w:r>
    </w:p>
    <w:p>
      <w:pPr>
        <w:pStyle w:val="4"/>
        <w:keepNext w:val="0"/>
        <w:keepLines w:val="0"/>
        <w:ind w:right="210"/>
      </w:pPr>
      <w:r>
        <w:rPr>
          <w:rFonts w:hint="eastAsia"/>
        </w:rPr>
        <w:t>施工现场内塔吊、施工电梯等机械设备，以及钢管脚手架和正在施工的金属结构，当在相邻建筑物、构筑物等设施的防雷装置接闪器的保护范围以外时，应安装防雷装置。</w:t>
      </w:r>
    </w:p>
    <w:p>
      <w:pPr>
        <w:pStyle w:val="4"/>
        <w:keepNext w:val="0"/>
        <w:keepLines w:val="0"/>
        <w:ind w:right="210"/>
      </w:pPr>
      <w:r>
        <w:rPr>
          <w:rFonts w:hint="eastAsia"/>
        </w:rPr>
        <w:t>建筑物的出入口、楼梯口、洞口、基坑和每层建筑的周边均应设置防护设施。</w:t>
      </w:r>
    </w:p>
    <w:p>
      <w:pPr>
        <w:pStyle w:val="4"/>
        <w:keepNext w:val="0"/>
        <w:keepLines w:val="0"/>
        <w:ind w:right="210"/>
      </w:pPr>
      <w:r>
        <w:rPr>
          <w:rFonts w:hint="eastAsia"/>
        </w:rPr>
        <w:t>结构施工中，结构外周作业面下部宜设置防止人员及钢板坠落的钢制安全防护网，并在周边设置安全警戒线和安全警示。</w:t>
      </w:r>
    </w:p>
    <w:p>
      <w:pPr>
        <w:pStyle w:val="4"/>
        <w:keepNext w:val="0"/>
        <w:keepLines w:val="0"/>
        <w:ind w:right="210"/>
      </w:pPr>
      <w:r>
        <w:rPr>
          <w:rFonts w:hint="eastAsia"/>
        </w:rPr>
        <w:t>钢构件卸车时，应按照规定的装卸顺序进行卸车，确保车辆平衡，避免由于卸车顺序不合理导致车辆倾覆。</w:t>
      </w:r>
    </w:p>
    <w:p>
      <w:pPr>
        <w:pStyle w:val="4"/>
        <w:keepNext w:val="0"/>
        <w:keepLines w:val="0"/>
        <w:ind w:right="210"/>
        <w:rPr>
          <w:color w:val="FF0000"/>
        </w:rPr>
      </w:pPr>
      <w:r>
        <w:rPr>
          <w:rFonts w:hint="eastAsia"/>
        </w:rPr>
        <w:t>施工过程中应满足下列绿色施工的要求：</w:t>
      </w:r>
    </w:p>
    <w:p>
      <w:pPr>
        <w:pStyle w:val="75"/>
        <w:numPr>
          <w:ilvl w:val="0"/>
          <w:numId w:val="37"/>
        </w:numPr>
      </w:pPr>
      <w:r>
        <w:rPr>
          <w:rFonts w:hint="eastAsia"/>
        </w:rPr>
        <w:t>施工组织设计和施工方案应符合绿色施工的要求，并进行绿色施工教育和培训；</w:t>
      </w:r>
    </w:p>
    <w:p>
      <w:pPr>
        <w:pStyle w:val="75"/>
        <w:numPr>
          <w:ilvl w:val="0"/>
          <w:numId w:val="37"/>
        </w:numPr>
      </w:pPr>
      <w:r>
        <w:rPr>
          <w:rFonts w:hint="eastAsia"/>
        </w:rPr>
        <w:t>采集和保存绿色施工的相关资料；</w:t>
      </w:r>
    </w:p>
    <w:p>
      <w:pPr>
        <w:pStyle w:val="75"/>
        <w:numPr>
          <w:ilvl w:val="0"/>
          <w:numId w:val="37"/>
        </w:numPr>
      </w:pPr>
      <w:r>
        <w:rPr>
          <w:rFonts w:hint="eastAsia"/>
        </w:rPr>
        <w:t>建筑节能、节地、节水、节材和环境保护措施应满足现行国家标准GB/T 50640相关规定；</w:t>
      </w:r>
    </w:p>
    <w:p>
      <w:pPr>
        <w:pStyle w:val="75"/>
        <w:numPr>
          <w:ilvl w:val="0"/>
          <w:numId w:val="37"/>
        </w:numPr>
      </w:pPr>
      <w:r>
        <w:rPr>
          <w:rFonts w:hint="eastAsia"/>
        </w:rPr>
        <w:t>施工期间，应严格控制噪音和遵守现行国家标准GB 12523的规定；</w:t>
      </w:r>
    </w:p>
    <w:p>
      <w:pPr>
        <w:pStyle w:val="75"/>
        <w:numPr>
          <w:ilvl w:val="0"/>
          <w:numId w:val="37"/>
        </w:numPr>
      </w:pPr>
      <w:r>
        <w:rPr>
          <w:rFonts w:hint="eastAsia"/>
        </w:rPr>
        <w:t>夜间施工时，应防止光污染对周边居民的影响。</w:t>
      </w:r>
    </w:p>
    <w:p>
      <w:pPr>
        <w:pStyle w:val="2"/>
        <w:keepNext w:val="0"/>
        <w:keepLines w:val="0"/>
        <w:spacing w:before="240" w:after="240"/>
        <w:rPr>
          <w:color w:val="0000FF"/>
        </w:rPr>
      </w:pPr>
      <w:bookmarkStart w:id="201" w:name="_Toc186641508"/>
      <w:bookmarkStart w:id="202" w:name="_Toc185448947"/>
      <w:bookmarkStart w:id="203" w:name="_Toc29030"/>
      <w:bookmarkStart w:id="204" w:name="_Toc22527"/>
      <w:bookmarkStart w:id="205" w:name="_Toc185448857"/>
      <w:r>
        <w:rPr>
          <w:rFonts w:hint="eastAsia"/>
        </w:rPr>
        <w:t>工程验收</w:t>
      </w:r>
      <w:bookmarkEnd w:id="201"/>
      <w:bookmarkEnd w:id="202"/>
      <w:bookmarkEnd w:id="203"/>
      <w:bookmarkEnd w:id="204"/>
      <w:bookmarkEnd w:id="205"/>
    </w:p>
    <w:p>
      <w:pPr>
        <w:pStyle w:val="3"/>
        <w:keepNext w:val="0"/>
        <w:keepLines w:val="0"/>
        <w:spacing w:before="120" w:after="120"/>
      </w:pPr>
      <w:bookmarkStart w:id="206" w:name="_Toc22291"/>
      <w:bookmarkStart w:id="207" w:name="_Toc186641509"/>
      <w:bookmarkStart w:id="208" w:name="_Toc6626"/>
      <w:r>
        <w:rPr>
          <w:rFonts w:hint="eastAsia"/>
        </w:rPr>
        <w:t>一般规定</w:t>
      </w:r>
      <w:bookmarkEnd w:id="206"/>
      <w:bookmarkEnd w:id="207"/>
      <w:bookmarkEnd w:id="208"/>
    </w:p>
    <w:p>
      <w:pPr>
        <w:pStyle w:val="4"/>
        <w:ind w:right="210"/>
      </w:pPr>
      <w:r>
        <w:rPr>
          <w:rFonts w:hint="eastAsia"/>
        </w:rPr>
        <w:t>装配式混合框架结构应在施工单位自行检验合格的基础上，按现行国家标准GB 50300的有关规定进行子分部工程的验收。</w:t>
      </w:r>
    </w:p>
    <w:p>
      <w:pPr>
        <w:pStyle w:val="4"/>
        <w:keepNext w:val="0"/>
        <w:keepLines w:val="0"/>
        <w:ind w:right="210"/>
      </w:pPr>
      <w:r>
        <w:rPr>
          <w:rFonts w:hint="eastAsia"/>
        </w:rPr>
        <w:t>钢构件部分的制作、进场验收、柱脚锚固、构件安装和连接等分项工程的检验应符合现行国家标准GB 50205、GB 50628和GB 50661的有关规定。</w:t>
      </w:r>
    </w:p>
    <w:p>
      <w:pPr>
        <w:pStyle w:val="4"/>
        <w:keepNext w:val="0"/>
        <w:keepLines w:val="0"/>
        <w:ind w:right="210"/>
      </w:pPr>
      <w:r>
        <w:rPr>
          <w:rFonts w:hint="eastAsia"/>
        </w:rPr>
        <w:t>混凝土部分的模板分项工程、钢筋分项工程、钢管内混凝土浇筑分项工程、现浇结构分项工程的检验应符合现行国家标准GB 50204和GB 50628的有关规定。</w:t>
      </w:r>
    </w:p>
    <w:p>
      <w:pPr>
        <w:pStyle w:val="4"/>
        <w:keepNext w:val="0"/>
        <w:keepLines w:val="0"/>
        <w:ind w:right="210"/>
      </w:pPr>
      <w:r>
        <w:rPr>
          <w:rFonts w:hint="eastAsia"/>
        </w:rPr>
        <w:t>对涉及混凝土结构安全的有代表性的部位应进行结构实体检验，结构实体检验应符合现行国家标准GB 50204的有关规定。</w:t>
      </w:r>
    </w:p>
    <w:p>
      <w:pPr>
        <w:pStyle w:val="3"/>
        <w:keepNext w:val="0"/>
        <w:keepLines w:val="0"/>
        <w:spacing w:before="120" w:after="120"/>
      </w:pPr>
      <w:bookmarkStart w:id="209" w:name="_Toc25572"/>
      <w:bookmarkStart w:id="210" w:name="_Toc12722"/>
      <w:bookmarkStart w:id="211" w:name="_Toc186641510"/>
      <w:r>
        <w:rPr>
          <w:rFonts w:hint="eastAsia"/>
        </w:rPr>
        <w:t>预制构件</w:t>
      </w:r>
      <w:bookmarkEnd w:id="209"/>
      <w:bookmarkEnd w:id="210"/>
      <w:bookmarkEnd w:id="211"/>
    </w:p>
    <w:p>
      <w:pPr>
        <w:ind w:firstLine="0" w:firstLineChars="0"/>
        <w:jc w:val="center"/>
      </w:pPr>
      <w:r>
        <w:rPr>
          <w:rFonts w:cs="Times New Roman"/>
        </w:rPr>
        <w:t>Ⅰ</w:t>
      </w:r>
      <w:r>
        <w:rPr>
          <w:rFonts w:hint="eastAsia"/>
        </w:rPr>
        <w:t xml:space="preserve"> 主控项目</w:t>
      </w:r>
    </w:p>
    <w:p>
      <w:pPr>
        <w:pStyle w:val="4"/>
        <w:ind w:right="210"/>
      </w:pPr>
      <w:r>
        <w:rPr>
          <w:rFonts w:hint="eastAsia"/>
        </w:rPr>
        <w:t>钢构件进场时，其加工制作质量应符合设计要求和合同约定。</w:t>
      </w:r>
    </w:p>
    <w:p>
      <w:pPr>
        <w:ind w:firstLine="0" w:firstLineChars="0"/>
      </w:pPr>
      <w:r>
        <w:rPr>
          <w:rFonts w:hint="eastAsia"/>
        </w:rPr>
        <w:t>检查数量：全数检查。</w:t>
      </w:r>
    </w:p>
    <w:p>
      <w:pPr>
        <w:ind w:firstLine="0" w:firstLineChars="0"/>
      </w:pPr>
      <w:r>
        <w:rPr>
          <w:rFonts w:hint="eastAsia"/>
        </w:rPr>
        <w:t>检验方法：检查出厂验收记录。</w:t>
      </w:r>
    </w:p>
    <w:p>
      <w:pPr>
        <w:pStyle w:val="4"/>
        <w:ind w:right="210"/>
      </w:pPr>
      <w:r>
        <w:rPr>
          <w:rFonts w:hint="eastAsia"/>
        </w:rPr>
        <w:t>钢构件进场应按安装工序配套核查构件、配件的数量。</w:t>
      </w:r>
    </w:p>
    <w:p>
      <w:pPr>
        <w:ind w:firstLine="0" w:firstLineChars="0"/>
      </w:pPr>
      <w:r>
        <w:rPr>
          <w:rFonts w:hint="eastAsia"/>
        </w:rPr>
        <w:t>检查数量：全数检查。</w:t>
      </w:r>
    </w:p>
    <w:p>
      <w:pPr>
        <w:ind w:firstLine="0" w:firstLineChars="0"/>
      </w:pPr>
      <w:r>
        <w:rPr>
          <w:rFonts w:hint="eastAsia"/>
        </w:rPr>
        <w:t>检验方法：按照安装工序清单清点构件、配件数量。</w:t>
      </w:r>
    </w:p>
    <w:p>
      <w:pPr>
        <w:pStyle w:val="4"/>
        <w:ind w:right="210"/>
      </w:pPr>
      <w:r>
        <w:rPr>
          <w:rFonts w:hint="eastAsia"/>
        </w:rPr>
        <w:t>钢构件上的加劲肋板、节点核心区钢管管壁厚度及开孔的规格和数量应符合设计要求。</w:t>
      </w:r>
    </w:p>
    <w:p>
      <w:pPr>
        <w:ind w:firstLine="0" w:firstLineChars="0"/>
      </w:pPr>
      <w:r>
        <w:rPr>
          <w:rFonts w:hint="eastAsia"/>
        </w:rPr>
        <w:t>检查数量：同批构件抽查10%，且不少于3件。</w:t>
      </w:r>
    </w:p>
    <w:p>
      <w:pPr>
        <w:ind w:firstLine="0" w:firstLineChars="0"/>
      </w:pPr>
      <w:r>
        <w:rPr>
          <w:rFonts w:hint="eastAsia"/>
        </w:rPr>
        <w:t>检验方法：尺量检查，观察检查及检查出厂验收记录。</w:t>
      </w:r>
    </w:p>
    <w:p>
      <w:pPr>
        <w:pStyle w:val="4"/>
        <w:ind w:right="210"/>
      </w:pPr>
      <w:r>
        <w:rPr>
          <w:rFonts w:hint="eastAsia"/>
        </w:rPr>
        <w:t>钢材、钢部件拼接或对接时所采用的焊缝质量等级应满足设计要求。当设计无要求时，应采用质量等级不低于二级的熔透焊缝，对直接承受拉力的焊缝，应采用一级熔透焊缝。</w:t>
      </w:r>
    </w:p>
    <w:p>
      <w:pPr>
        <w:ind w:firstLine="0" w:firstLineChars="0"/>
      </w:pPr>
      <w:r>
        <w:rPr>
          <w:rFonts w:hint="eastAsia"/>
        </w:rPr>
        <w:t>检查数量：全数检查。</w:t>
      </w:r>
    </w:p>
    <w:p>
      <w:pPr>
        <w:ind w:firstLine="0" w:firstLineChars="0"/>
      </w:pPr>
      <w:r>
        <w:rPr>
          <w:rFonts w:hint="eastAsia"/>
        </w:rPr>
        <w:t>检验方法：检查超声波探伤报告。</w:t>
      </w:r>
    </w:p>
    <w:p>
      <w:pPr>
        <w:ind w:firstLine="0" w:firstLineChars="0"/>
      </w:pPr>
    </w:p>
    <w:p>
      <w:pPr>
        <w:ind w:firstLine="0" w:firstLineChars="0"/>
        <w:jc w:val="center"/>
      </w:pPr>
      <w:r>
        <w:rPr>
          <w:rFonts w:cs="Times New Roman"/>
        </w:rPr>
        <w:t>Ⅱ</w:t>
      </w:r>
      <w:r>
        <w:rPr>
          <w:rFonts w:hint="eastAsia"/>
        </w:rPr>
        <w:t xml:space="preserve"> 一般项目</w:t>
      </w:r>
    </w:p>
    <w:p>
      <w:pPr>
        <w:pStyle w:val="4"/>
        <w:ind w:right="210"/>
      </w:pPr>
      <w:r>
        <w:rPr>
          <w:rFonts w:hint="eastAsia"/>
        </w:rPr>
        <w:t>钢构件不应有运输、堆放造成的变形、脱漆等现象。</w:t>
      </w:r>
    </w:p>
    <w:p>
      <w:pPr>
        <w:ind w:firstLine="0" w:firstLineChars="0"/>
      </w:pPr>
      <w:r>
        <w:rPr>
          <w:rFonts w:hint="eastAsia"/>
        </w:rPr>
        <w:t>检查数量：同批构件抽查10%，且不少于3件。</w:t>
      </w:r>
    </w:p>
    <w:p>
      <w:pPr>
        <w:ind w:firstLine="0" w:firstLineChars="0"/>
      </w:pPr>
      <w:r>
        <w:rPr>
          <w:rFonts w:hint="eastAsia"/>
        </w:rPr>
        <w:t>检验方法：观察检查。</w:t>
      </w:r>
    </w:p>
    <w:p>
      <w:pPr>
        <w:pStyle w:val="4"/>
        <w:ind w:right="210"/>
      </w:pPr>
      <w:r>
        <w:rPr>
          <w:rFonts w:hint="eastAsia"/>
        </w:rPr>
        <w:t>钢管构件进场应抽查构件的尺寸偏差，其允许偏差应符合表</w:t>
      </w:r>
      <w:r>
        <w:t>6</w:t>
      </w:r>
      <w:r>
        <w:rPr>
          <w:rFonts w:hint="eastAsia"/>
        </w:rPr>
        <w:t>的规定，并满足现行国家标准GB 50205相关规定。</w:t>
      </w:r>
    </w:p>
    <w:p>
      <w:pPr>
        <w:ind w:firstLine="0" w:firstLineChars="0"/>
      </w:pPr>
      <w:r>
        <w:rPr>
          <w:rFonts w:hint="eastAsia"/>
        </w:rPr>
        <w:t>检查数量：同一类型的构件，不超过100件为一批，每批应抽查构件数量的10%，且不应少于3件。</w:t>
      </w:r>
    </w:p>
    <w:p>
      <w:pPr>
        <w:ind w:firstLine="0" w:firstLineChars="0"/>
      </w:pPr>
      <w:r>
        <w:rPr>
          <w:rFonts w:hint="eastAsia"/>
        </w:rPr>
        <w:t>检验方法：按表</w:t>
      </w:r>
      <w:r>
        <w:t>6</w:t>
      </w:r>
      <w:r>
        <w:rPr>
          <w:rFonts w:hint="eastAsia"/>
        </w:rPr>
        <w:t>执行。</w:t>
      </w:r>
    </w:p>
    <w:p>
      <w:pPr>
        <w:spacing w:line="400" w:lineRule="exact"/>
        <w:ind w:firstLine="0" w:firstLineChars="0"/>
        <w:jc w:val="center"/>
        <w:rPr>
          <w:rFonts w:ascii="黑体" w:hAnsi="黑体" w:eastAsia="黑体"/>
        </w:rPr>
      </w:pPr>
      <w:r>
        <w:rPr>
          <w:rFonts w:hint="eastAsia" w:ascii="黑体" w:hAnsi="黑体" w:eastAsia="黑体"/>
          <w:bCs/>
        </w:rPr>
        <w:t>表</w:t>
      </w:r>
      <w:r>
        <w:rPr>
          <w:rFonts w:ascii="黑体" w:hAnsi="黑体" w:eastAsia="黑体"/>
          <w:bCs/>
        </w:rPr>
        <w:t>6</w:t>
      </w:r>
      <w:r>
        <w:rPr>
          <w:rFonts w:hint="eastAsia" w:ascii="黑体" w:hAnsi="黑体" w:eastAsia="黑体" w:cs="黑体"/>
        </w:rPr>
        <w:t>　</w:t>
      </w:r>
      <w:r>
        <w:rPr>
          <w:rFonts w:hint="eastAsia" w:ascii="黑体" w:hAnsi="黑体" w:eastAsia="黑体"/>
        </w:rPr>
        <w:t>钢管构件进场抽查尺寸的允许偏差</w:t>
      </w:r>
    </w:p>
    <w:tbl>
      <w:tblPr>
        <w:tblStyle w:val="34"/>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54"/>
        <w:gridCol w:w="138"/>
        <w:gridCol w:w="1600"/>
        <w:gridCol w:w="3190"/>
        <w:gridCol w:w="31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1668" w:type="pct"/>
            <w:gridSpan w:val="3"/>
            <w:vAlign w:val="center"/>
          </w:tcPr>
          <w:p>
            <w:pPr>
              <w:ind w:firstLine="0" w:firstLineChars="0"/>
              <w:jc w:val="center"/>
              <w:rPr>
                <w:rFonts w:cs="Times New Roman"/>
                <w:kern w:val="0"/>
                <w:sz w:val="18"/>
                <w:szCs w:val="18"/>
              </w:rPr>
            </w:pPr>
            <w:r>
              <w:rPr>
                <w:rFonts w:cs="Times New Roman"/>
                <w:kern w:val="0"/>
                <w:sz w:val="18"/>
                <w:szCs w:val="18"/>
              </w:rPr>
              <w:t>项目</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允许偏差（mm）</w:t>
            </w:r>
          </w:p>
        </w:tc>
        <w:tc>
          <w:tcPr>
            <w:tcW w:w="1665" w:type="pct"/>
            <w:vAlign w:val="center"/>
          </w:tcPr>
          <w:p>
            <w:pPr>
              <w:ind w:firstLine="0" w:firstLineChars="0"/>
              <w:jc w:val="center"/>
              <w:rPr>
                <w:rFonts w:cs="Times New Roman"/>
                <w:kern w:val="0"/>
                <w:sz w:val="18"/>
                <w:szCs w:val="18"/>
              </w:rPr>
            </w:pPr>
            <w:r>
              <w:rPr>
                <w:rFonts w:cs="Times New Roman"/>
                <w:kern w:val="0"/>
                <w:sz w:val="18"/>
                <w:szCs w:val="18"/>
              </w:rPr>
              <w:t>检验方法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1668" w:type="pct"/>
            <w:gridSpan w:val="3"/>
            <w:vAlign w:val="center"/>
          </w:tcPr>
          <w:p>
            <w:pPr>
              <w:ind w:firstLine="0" w:firstLineChars="0"/>
              <w:jc w:val="center"/>
              <w:rPr>
                <w:rFonts w:cs="Times New Roman"/>
                <w:kern w:val="0"/>
                <w:sz w:val="18"/>
                <w:szCs w:val="18"/>
              </w:rPr>
            </w:pPr>
            <w:r>
              <w:rPr>
                <w:rFonts w:cs="Times New Roman"/>
                <w:kern w:val="0"/>
                <w:sz w:val="18"/>
                <w:szCs w:val="18"/>
              </w:rPr>
              <w:t>构件长度</w:t>
            </w:r>
            <m:oMath>
              <m:r>
                <m:rPr/>
                <w:rPr>
                  <w:rFonts w:ascii="Cambria Math" w:hAnsi="Cambria Math" w:cs="Times New Roman"/>
                  <w:kern w:val="0"/>
                  <w:sz w:val="18"/>
                  <w:szCs w:val="18"/>
                </w:rPr>
                <m:t>L</m:t>
              </m:r>
            </m:oMath>
          </w:p>
        </w:tc>
        <w:tc>
          <w:tcPr>
            <w:tcW w:w="1667" w:type="pct"/>
            <w:vAlign w:val="center"/>
          </w:tcPr>
          <w:p>
            <w:pPr>
              <w:ind w:firstLine="0" w:firstLineChars="0"/>
              <w:jc w:val="center"/>
              <w:rPr>
                <w:rFonts w:cs="Times New Roman"/>
                <w:kern w:val="0"/>
                <w:sz w:val="18"/>
                <w:szCs w:val="18"/>
              </w:rPr>
            </w:pPr>
            <w:r>
              <w:rPr>
                <w:rFonts w:cs="Times New Roman"/>
                <w:kern w:val="0"/>
                <w:sz w:val="18"/>
                <w:szCs w:val="18"/>
              </w:rPr>
              <w:t>±3.0</w:t>
            </w:r>
          </w:p>
        </w:tc>
        <w:tc>
          <w:tcPr>
            <w:tcW w:w="1665" w:type="pct"/>
            <w:vMerge w:val="restart"/>
            <w:vAlign w:val="center"/>
          </w:tcPr>
          <w:p>
            <w:pPr>
              <w:ind w:firstLine="360"/>
              <w:jc w:val="center"/>
              <w:rPr>
                <w:rFonts w:cs="Times New Roman"/>
                <w:kern w:val="0"/>
                <w:sz w:val="18"/>
                <w:szCs w:val="18"/>
              </w:rPr>
            </w:pPr>
            <w:r>
              <w:rPr>
                <w:rFonts w:cs="Times New Roman"/>
                <w:kern w:val="0"/>
                <w:sz w:val="18"/>
                <w:szCs w:val="18"/>
              </w:rPr>
              <w:t>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1668" w:type="pct"/>
            <w:gridSpan w:val="3"/>
            <w:vAlign w:val="center"/>
          </w:tcPr>
          <w:p>
            <w:pPr>
              <w:ind w:firstLine="0" w:firstLineChars="0"/>
              <w:jc w:val="center"/>
              <w:rPr>
                <w:rFonts w:cs="Times New Roman"/>
                <w:kern w:val="0"/>
                <w:sz w:val="18"/>
                <w:szCs w:val="18"/>
              </w:rPr>
            </w:pPr>
            <w:r>
              <w:rPr>
                <w:rFonts w:cs="Times New Roman"/>
                <w:kern w:val="0"/>
                <w:sz w:val="18"/>
                <w:szCs w:val="18"/>
              </w:rPr>
              <w:t>直径</w:t>
            </w:r>
            <m:oMath>
              <m:r>
                <m:rPr/>
                <w:rPr>
                  <w:rFonts w:ascii="Cambria Math" w:hAnsi="Cambria Math" w:cs="Times New Roman"/>
                  <w:kern w:val="0"/>
                  <w:sz w:val="18"/>
                  <w:szCs w:val="18"/>
                </w:rPr>
                <m:t>D</m:t>
              </m:r>
            </m:oMath>
          </w:p>
        </w:tc>
        <w:tc>
          <w:tcPr>
            <w:tcW w:w="1667" w:type="pct"/>
            <w:vAlign w:val="center"/>
          </w:tcPr>
          <w:p>
            <w:pPr>
              <w:ind w:firstLine="0" w:firstLineChars="0"/>
              <w:jc w:val="center"/>
              <w:rPr>
                <w:rFonts w:cs="Times New Roman"/>
                <w:kern w:val="0"/>
                <w:sz w:val="18"/>
                <w:szCs w:val="18"/>
              </w:rPr>
            </w:pPr>
            <w:r>
              <w:rPr>
                <w:rFonts w:cs="Times New Roman"/>
                <w:kern w:val="0"/>
                <w:sz w:val="18"/>
                <w:szCs w:val="18"/>
              </w:rPr>
              <w:t>±</w:t>
            </w:r>
            <w:r>
              <w:rPr>
                <w:rFonts w:cs="Times New Roman"/>
                <w:i/>
                <w:iCs/>
                <w:kern w:val="0"/>
                <w:sz w:val="18"/>
                <w:szCs w:val="18"/>
              </w:rPr>
              <w:t>D</w:t>
            </w:r>
            <w:r>
              <w:rPr>
                <w:rFonts w:cs="Times New Roman"/>
                <w:kern w:val="0"/>
                <w:sz w:val="18"/>
                <w:szCs w:val="18"/>
              </w:rPr>
              <w:t>/500</w:t>
            </w:r>
          </w:p>
          <w:p>
            <w:pPr>
              <w:ind w:firstLine="0" w:firstLineChars="0"/>
              <w:jc w:val="center"/>
              <w:rPr>
                <w:rFonts w:cs="Times New Roman"/>
                <w:kern w:val="0"/>
                <w:sz w:val="18"/>
                <w:szCs w:val="18"/>
              </w:rPr>
            </w:pPr>
            <w:r>
              <w:rPr>
                <w:rFonts w:cs="Times New Roman"/>
                <w:kern w:val="0"/>
                <w:sz w:val="18"/>
                <w:szCs w:val="18"/>
              </w:rPr>
              <w:t>且不应大于±5.0</w:t>
            </w:r>
          </w:p>
        </w:tc>
        <w:tc>
          <w:tcPr>
            <w:tcW w:w="1665" w:type="pct"/>
            <w:vMerge w:val="continue"/>
            <w:vAlign w:val="center"/>
          </w:tcPr>
          <w:p>
            <w:pPr>
              <w:ind w:firstLine="36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1668" w:type="pct"/>
            <w:gridSpan w:val="3"/>
            <w:vAlign w:val="center"/>
          </w:tcPr>
          <w:p>
            <w:pPr>
              <w:ind w:firstLine="0" w:firstLineChars="0"/>
              <w:jc w:val="center"/>
              <w:rPr>
                <w:rFonts w:cs="Times New Roman"/>
                <w:kern w:val="0"/>
                <w:sz w:val="18"/>
                <w:szCs w:val="18"/>
              </w:rPr>
            </w:pPr>
            <w:r>
              <w:rPr>
                <w:rFonts w:cs="Times New Roman"/>
                <w:kern w:val="0"/>
                <w:sz w:val="18"/>
                <w:szCs w:val="18"/>
              </w:rPr>
              <w:t>管口圆度</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w:t>
            </w:r>
            <w:r>
              <w:rPr>
                <w:rFonts w:cs="Times New Roman"/>
                <w:i/>
                <w:iCs/>
                <w:kern w:val="0"/>
                <w:sz w:val="18"/>
                <w:szCs w:val="18"/>
              </w:rPr>
              <w:t>D</w:t>
            </w:r>
            <w:r>
              <w:rPr>
                <w:rFonts w:cs="Times New Roman"/>
                <w:kern w:val="0"/>
                <w:sz w:val="18"/>
                <w:szCs w:val="18"/>
              </w:rPr>
              <w:t>/500</w:t>
            </w:r>
          </w:p>
          <w:p>
            <w:pPr>
              <w:ind w:firstLine="0" w:firstLineChars="0"/>
              <w:jc w:val="center"/>
              <w:rPr>
                <w:rFonts w:cs="Times New Roman"/>
                <w:kern w:val="0"/>
                <w:sz w:val="18"/>
                <w:szCs w:val="18"/>
              </w:rPr>
            </w:pPr>
            <w:r>
              <w:rPr>
                <w:rFonts w:cs="Times New Roman"/>
                <w:kern w:val="0"/>
                <w:sz w:val="18"/>
                <w:szCs w:val="18"/>
              </w:rPr>
              <w:t>且不应大于5.0</w:t>
            </w:r>
          </w:p>
        </w:tc>
        <w:tc>
          <w:tcPr>
            <w:tcW w:w="1665" w:type="pct"/>
            <w:vMerge w:val="continue"/>
            <w:vAlign w:val="center"/>
          </w:tcPr>
          <w:p>
            <w:pPr>
              <w:ind w:firstLine="36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32" w:type="pct"/>
            <w:gridSpan w:val="2"/>
            <w:vMerge w:val="restart"/>
            <w:vAlign w:val="center"/>
          </w:tcPr>
          <w:p>
            <w:pPr>
              <w:ind w:firstLine="0" w:firstLineChars="0"/>
              <w:jc w:val="center"/>
              <w:rPr>
                <w:rFonts w:cs="Times New Roman"/>
                <w:kern w:val="0"/>
                <w:sz w:val="18"/>
                <w:szCs w:val="18"/>
              </w:rPr>
            </w:pPr>
            <w:r>
              <w:rPr>
                <w:rFonts w:cs="Times New Roman"/>
                <w:kern w:val="0"/>
                <w:sz w:val="18"/>
                <w:szCs w:val="18"/>
              </w:rPr>
              <w:t>矩形钢管</w:t>
            </w:r>
          </w:p>
          <w:p>
            <w:pPr>
              <w:ind w:firstLine="0" w:firstLineChars="0"/>
              <w:jc w:val="center"/>
              <w:rPr>
                <w:rFonts w:cs="Times New Roman"/>
                <w:kern w:val="0"/>
                <w:sz w:val="18"/>
                <w:szCs w:val="18"/>
              </w:rPr>
            </w:pPr>
            <w:r>
              <w:rPr>
                <w:rFonts w:cs="Times New Roman"/>
                <w:kern w:val="0"/>
                <w:sz w:val="18"/>
                <w:szCs w:val="18"/>
              </w:rPr>
              <w:t>柱截面尺寸</w:t>
            </w:r>
          </w:p>
        </w:tc>
        <w:tc>
          <w:tcPr>
            <w:tcW w:w="836" w:type="pct"/>
            <w:vAlign w:val="center"/>
          </w:tcPr>
          <w:p>
            <w:pPr>
              <w:ind w:firstLine="0" w:firstLineChars="0"/>
              <w:jc w:val="center"/>
              <w:rPr>
                <w:rFonts w:cs="Times New Roman"/>
                <w:kern w:val="0"/>
                <w:sz w:val="18"/>
                <w:szCs w:val="18"/>
              </w:rPr>
            </w:pPr>
            <w:r>
              <w:rPr>
                <w:rFonts w:cs="Times New Roman"/>
                <w:kern w:val="0"/>
                <w:sz w:val="18"/>
                <w:szCs w:val="18"/>
              </w:rPr>
              <w:t>连接处</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±3.0</w:t>
            </w:r>
          </w:p>
        </w:tc>
        <w:tc>
          <w:tcPr>
            <w:tcW w:w="1665"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jc w:val="center"/>
        </w:trPr>
        <w:tc>
          <w:tcPr>
            <w:tcW w:w="832" w:type="pct"/>
            <w:gridSpan w:val="2"/>
            <w:vMerge w:val="continue"/>
            <w:vAlign w:val="center"/>
          </w:tcPr>
          <w:p>
            <w:pPr>
              <w:ind w:firstLine="0" w:firstLineChars="0"/>
              <w:jc w:val="center"/>
              <w:rPr>
                <w:rFonts w:cs="Times New Roman"/>
                <w:kern w:val="0"/>
                <w:sz w:val="18"/>
                <w:szCs w:val="18"/>
              </w:rPr>
            </w:pPr>
          </w:p>
        </w:tc>
        <w:tc>
          <w:tcPr>
            <w:tcW w:w="836" w:type="pct"/>
            <w:vAlign w:val="center"/>
          </w:tcPr>
          <w:p>
            <w:pPr>
              <w:ind w:firstLine="0" w:firstLineChars="0"/>
              <w:jc w:val="center"/>
              <w:rPr>
                <w:rFonts w:cs="Times New Roman"/>
                <w:kern w:val="0"/>
                <w:sz w:val="18"/>
                <w:szCs w:val="18"/>
              </w:rPr>
            </w:pPr>
            <w:r>
              <w:rPr>
                <w:rFonts w:cs="Times New Roman"/>
                <w:kern w:val="0"/>
                <w:sz w:val="18"/>
                <w:szCs w:val="18"/>
              </w:rPr>
              <w:t>非连接处</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±4.0</w:t>
            </w:r>
          </w:p>
        </w:tc>
        <w:tc>
          <w:tcPr>
            <w:tcW w:w="1665"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1668" w:type="pct"/>
            <w:gridSpan w:val="3"/>
            <w:vAlign w:val="center"/>
          </w:tcPr>
          <w:p>
            <w:pPr>
              <w:ind w:firstLine="0" w:firstLineChars="0"/>
              <w:jc w:val="center"/>
              <w:rPr>
                <w:rFonts w:cs="Times New Roman"/>
                <w:kern w:val="0"/>
                <w:sz w:val="18"/>
                <w:szCs w:val="18"/>
              </w:rPr>
            </w:pPr>
            <w:r>
              <w:rPr>
                <w:rFonts w:cs="Times New Roman"/>
                <w:kern w:val="0"/>
                <w:sz w:val="18"/>
                <w:szCs w:val="18"/>
              </w:rPr>
              <w:t>弯曲矢高</w:t>
            </w:r>
          </w:p>
        </w:tc>
        <w:tc>
          <w:tcPr>
            <w:tcW w:w="1667" w:type="pct"/>
            <w:vAlign w:val="center"/>
          </w:tcPr>
          <w:p>
            <w:pPr>
              <w:ind w:firstLine="0" w:firstLineChars="0"/>
              <w:jc w:val="center"/>
              <w:rPr>
                <w:rFonts w:cs="Times New Roman"/>
                <w:kern w:val="0"/>
                <w:sz w:val="18"/>
                <w:szCs w:val="18"/>
              </w:rPr>
            </w:pPr>
            <m:oMathPara>
              <m:oMath>
                <m:r>
                  <m:rPr/>
                  <w:rPr>
                    <w:rFonts w:ascii="Cambria Math" w:hAnsi="Cambria Math" w:cs="Times New Roman"/>
                    <w:kern w:val="0"/>
                    <w:sz w:val="18"/>
                    <w:szCs w:val="18"/>
                  </w:rPr>
                  <m:t>L</m:t>
                </m:r>
                <m:r>
                  <m:rPr>
                    <m:sty m:val="p"/>
                  </m:rPr>
                  <w:rPr>
                    <w:rFonts w:ascii="Cambria Math" w:hAnsi="Cambria Math" w:cs="Times New Roman"/>
                    <w:kern w:val="0"/>
                    <w:sz w:val="18"/>
                    <w:szCs w:val="18"/>
                  </w:rPr>
                  <m:t>/1500</m:t>
                </m:r>
              </m:oMath>
            </m:oMathPara>
          </w:p>
          <w:p>
            <w:pPr>
              <w:ind w:firstLine="0" w:firstLineChars="0"/>
              <w:jc w:val="center"/>
              <w:rPr>
                <w:rFonts w:cs="Times New Roman"/>
                <w:kern w:val="0"/>
                <w:sz w:val="18"/>
                <w:szCs w:val="18"/>
              </w:rPr>
            </w:pPr>
            <w:r>
              <w:rPr>
                <w:rFonts w:cs="Times New Roman"/>
                <w:kern w:val="0"/>
                <w:sz w:val="18"/>
                <w:szCs w:val="18"/>
              </w:rPr>
              <w:t>且不应大于5.0</w:t>
            </w:r>
          </w:p>
        </w:tc>
        <w:tc>
          <w:tcPr>
            <w:tcW w:w="1665" w:type="pct"/>
            <w:vAlign w:val="center"/>
          </w:tcPr>
          <w:p>
            <w:pPr>
              <w:ind w:firstLine="0" w:firstLineChars="0"/>
              <w:jc w:val="center"/>
              <w:rPr>
                <w:rFonts w:cs="Times New Roman"/>
                <w:kern w:val="0"/>
                <w:sz w:val="18"/>
                <w:szCs w:val="18"/>
              </w:rPr>
            </w:pPr>
            <w:r>
              <w:rPr>
                <w:rFonts w:cs="Times New Roman"/>
                <w:kern w:val="0"/>
                <w:sz w:val="18"/>
                <w:szCs w:val="18"/>
              </w:rPr>
              <w:t>拉线、吊线和钢尺检查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760" w:type="pct"/>
            <w:vMerge w:val="restart"/>
            <w:vAlign w:val="center"/>
          </w:tcPr>
          <w:p>
            <w:pPr>
              <w:ind w:firstLine="0" w:firstLineChars="0"/>
              <w:jc w:val="center"/>
              <w:rPr>
                <w:rFonts w:cs="Times New Roman"/>
                <w:kern w:val="0"/>
                <w:sz w:val="18"/>
                <w:szCs w:val="18"/>
              </w:rPr>
            </w:pPr>
            <w:r>
              <w:rPr>
                <w:rFonts w:cs="Times New Roman"/>
                <w:kern w:val="0"/>
                <w:sz w:val="18"/>
                <w:szCs w:val="18"/>
              </w:rPr>
              <w:t>CFST-RB、</w:t>
            </w:r>
          </w:p>
          <w:p>
            <w:pPr>
              <w:ind w:firstLine="0" w:firstLineChars="0"/>
              <w:jc w:val="center"/>
              <w:rPr>
                <w:rFonts w:cs="Times New Roman"/>
                <w:kern w:val="0"/>
                <w:sz w:val="18"/>
                <w:szCs w:val="18"/>
              </w:rPr>
            </w:pPr>
            <w:r>
              <w:rPr>
                <w:rFonts w:cs="Times New Roman"/>
                <w:kern w:val="0"/>
                <w:sz w:val="18"/>
                <w:szCs w:val="18"/>
              </w:rPr>
              <w:t>CFCST-RB钢管壁开孔</w:t>
            </w:r>
          </w:p>
        </w:tc>
        <w:tc>
          <w:tcPr>
            <w:tcW w:w="908" w:type="pct"/>
            <w:gridSpan w:val="2"/>
            <w:vAlign w:val="center"/>
          </w:tcPr>
          <w:p>
            <w:pPr>
              <w:ind w:firstLine="0" w:firstLineChars="0"/>
              <w:jc w:val="center"/>
              <w:rPr>
                <w:rFonts w:cs="Times New Roman"/>
                <w:kern w:val="0"/>
                <w:sz w:val="18"/>
                <w:szCs w:val="18"/>
              </w:rPr>
            </w:pPr>
            <w:r>
              <w:rPr>
                <w:rFonts w:cs="Times New Roman"/>
                <w:kern w:val="0"/>
                <w:sz w:val="18"/>
                <w:szCs w:val="18"/>
              </w:rPr>
              <w:t>尺寸</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±3.0</w:t>
            </w:r>
          </w:p>
        </w:tc>
        <w:tc>
          <w:tcPr>
            <w:tcW w:w="1665" w:type="pct"/>
            <w:vMerge w:val="restart"/>
            <w:vAlign w:val="center"/>
          </w:tcPr>
          <w:p>
            <w:pPr>
              <w:ind w:firstLine="0" w:firstLineChars="0"/>
              <w:jc w:val="center"/>
              <w:rPr>
                <w:rFonts w:cs="Times New Roman"/>
                <w:kern w:val="0"/>
                <w:sz w:val="18"/>
                <w:szCs w:val="18"/>
              </w:rPr>
            </w:pPr>
            <w:r>
              <w:rPr>
                <w:rFonts w:cs="Times New Roman"/>
                <w:kern w:val="0"/>
                <w:sz w:val="18"/>
                <w:szCs w:val="18"/>
              </w:rPr>
              <w:t>尺量检查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760" w:type="pct"/>
            <w:vMerge w:val="continue"/>
            <w:vAlign w:val="center"/>
          </w:tcPr>
          <w:p>
            <w:pPr>
              <w:ind w:firstLine="0" w:firstLineChars="0"/>
              <w:jc w:val="center"/>
              <w:rPr>
                <w:rFonts w:cs="Times New Roman"/>
                <w:kern w:val="0"/>
                <w:sz w:val="18"/>
                <w:szCs w:val="18"/>
              </w:rPr>
            </w:pPr>
          </w:p>
        </w:tc>
        <w:tc>
          <w:tcPr>
            <w:tcW w:w="908" w:type="pct"/>
            <w:gridSpan w:val="2"/>
            <w:vAlign w:val="center"/>
          </w:tcPr>
          <w:p>
            <w:pPr>
              <w:ind w:firstLine="0" w:firstLineChars="0"/>
              <w:jc w:val="center"/>
              <w:rPr>
                <w:rFonts w:cs="Times New Roman"/>
                <w:kern w:val="0"/>
                <w:sz w:val="18"/>
                <w:szCs w:val="18"/>
              </w:rPr>
            </w:pPr>
            <w:r>
              <w:rPr>
                <w:rFonts w:cs="Times New Roman"/>
                <w:kern w:val="0"/>
                <w:sz w:val="18"/>
                <w:szCs w:val="18"/>
              </w:rPr>
              <w:t>轴线偏差</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1.5</w:t>
            </w:r>
          </w:p>
        </w:tc>
        <w:tc>
          <w:tcPr>
            <w:tcW w:w="1665"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760" w:type="pct"/>
            <w:vMerge w:val="restart"/>
            <w:vAlign w:val="center"/>
          </w:tcPr>
          <w:p>
            <w:pPr>
              <w:ind w:firstLine="0" w:firstLineChars="0"/>
              <w:jc w:val="center"/>
              <w:rPr>
                <w:rFonts w:cs="Times New Roman"/>
                <w:kern w:val="0"/>
                <w:sz w:val="18"/>
                <w:szCs w:val="18"/>
              </w:rPr>
            </w:pPr>
            <w:r>
              <w:rPr>
                <w:rFonts w:cs="Times New Roman"/>
                <w:kern w:val="0"/>
                <w:sz w:val="18"/>
                <w:szCs w:val="18"/>
              </w:rPr>
              <w:t>RC-SB</w:t>
            </w:r>
          </w:p>
          <w:p>
            <w:pPr>
              <w:ind w:firstLine="0" w:firstLineChars="0"/>
              <w:jc w:val="center"/>
              <w:rPr>
                <w:rFonts w:cs="Times New Roman"/>
                <w:kern w:val="0"/>
                <w:sz w:val="18"/>
                <w:szCs w:val="18"/>
              </w:rPr>
            </w:pPr>
            <w:r>
              <w:rPr>
                <w:rFonts w:cs="Times New Roman"/>
                <w:kern w:val="0"/>
                <w:sz w:val="18"/>
                <w:szCs w:val="18"/>
              </w:rPr>
              <w:t>穿筋孔</w:t>
            </w:r>
          </w:p>
        </w:tc>
        <w:tc>
          <w:tcPr>
            <w:tcW w:w="908" w:type="pct"/>
            <w:gridSpan w:val="2"/>
            <w:vAlign w:val="center"/>
          </w:tcPr>
          <w:p>
            <w:pPr>
              <w:ind w:firstLine="0" w:firstLineChars="0"/>
              <w:jc w:val="center"/>
              <w:rPr>
                <w:rFonts w:cs="Times New Roman"/>
                <w:kern w:val="0"/>
                <w:sz w:val="18"/>
                <w:szCs w:val="18"/>
              </w:rPr>
            </w:pPr>
            <w:r>
              <w:rPr>
                <w:rFonts w:cs="Times New Roman"/>
                <w:kern w:val="0"/>
                <w:sz w:val="18"/>
                <w:szCs w:val="18"/>
              </w:rPr>
              <w:t>尺寸</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-1.0，+5.0</w:t>
            </w:r>
          </w:p>
        </w:tc>
        <w:tc>
          <w:tcPr>
            <w:tcW w:w="1665"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760" w:type="pct"/>
            <w:vMerge w:val="continue"/>
            <w:vAlign w:val="center"/>
          </w:tcPr>
          <w:p>
            <w:pPr>
              <w:ind w:firstLine="0" w:firstLineChars="0"/>
              <w:jc w:val="center"/>
              <w:rPr>
                <w:rFonts w:cs="Times New Roman"/>
                <w:kern w:val="0"/>
                <w:sz w:val="18"/>
                <w:szCs w:val="18"/>
              </w:rPr>
            </w:pPr>
          </w:p>
        </w:tc>
        <w:tc>
          <w:tcPr>
            <w:tcW w:w="908" w:type="pct"/>
            <w:gridSpan w:val="2"/>
            <w:vAlign w:val="center"/>
          </w:tcPr>
          <w:p>
            <w:pPr>
              <w:ind w:firstLine="0" w:firstLineChars="0"/>
              <w:jc w:val="center"/>
              <w:rPr>
                <w:rFonts w:cs="Times New Roman"/>
                <w:kern w:val="0"/>
                <w:sz w:val="18"/>
                <w:szCs w:val="18"/>
              </w:rPr>
            </w:pPr>
            <w:r>
              <w:rPr>
                <w:rFonts w:cs="Times New Roman"/>
                <w:kern w:val="0"/>
                <w:sz w:val="18"/>
                <w:szCs w:val="18"/>
              </w:rPr>
              <w:t>轴线偏差</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1.5</w:t>
            </w:r>
          </w:p>
        </w:tc>
        <w:tc>
          <w:tcPr>
            <w:tcW w:w="1665"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760" w:type="pct"/>
            <w:vAlign w:val="center"/>
          </w:tcPr>
          <w:p>
            <w:pPr>
              <w:ind w:firstLine="0" w:firstLineChars="0"/>
              <w:jc w:val="center"/>
              <w:rPr>
                <w:rFonts w:cs="Times New Roman"/>
                <w:kern w:val="0"/>
                <w:sz w:val="18"/>
                <w:szCs w:val="18"/>
              </w:rPr>
            </w:pPr>
            <w:r>
              <w:rPr>
                <w:rFonts w:cs="Times New Roman"/>
                <w:kern w:val="0"/>
                <w:sz w:val="18"/>
                <w:szCs w:val="18"/>
              </w:rPr>
              <w:t>浇筑孔</w:t>
            </w:r>
          </w:p>
        </w:tc>
        <w:tc>
          <w:tcPr>
            <w:tcW w:w="908" w:type="pct"/>
            <w:gridSpan w:val="2"/>
            <w:vAlign w:val="center"/>
          </w:tcPr>
          <w:p>
            <w:pPr>
              <w:ind w:firstLine="0" w:firstLineChars="0"/>
              <w:jc w:val="center"/>
              <w:rPr>
                <w:rFonts w:cs="Times New Roman"/>
                <w:kern w:val="0"/>
                <w:sz w:val="18"/>
                <w:szCs w:val="18"/>
              </w:rPr>
            </w:pPr>
            <w:r>
              <w:rPr>
                <w:rFonts w:cs="Times New Roman"/>
                <w:kern w:val="0"/>
                <w:sz w:val="18"/>
                <w:szCs w:val="18"/>
              </w:rPr>
              <w:t>尺寸</w:t>
            </w:r>
          </w:p>
        </w:tc>
        <w:tc>
          <w:tcPr>
            <w:tcW w:w="1667" w:type="pct"/>
            <w:vAlign w:val="center"/>
          </w:tcPr>
          <w:p>
            <w:pPr>
              <w:ind w:firstLine="0" w:firstLineChars="0"/>
              <w:jc w:val="center"/>
              <w:rPr>
                <w:rFonts w:cs="Times New Roman"/>
                <w:kern w:val="0"/>
                <w:sz w:val="18"/>
                <w:szCs w:val="18"/>
              </w:rPr>
            </w:pPr>
            <w:r>
              <w:rPr>
                <w:rFonts w:cs="Times New Roman"/>
                <w:kern w:val="0"/>
                <w:sz w:val="18"/>
                <w:szCs w:val="18"/>
              </w:rPr>
              <w:t>±5.0</w:t>
            </w:r>
          </w:p>
        </w:tc>
        <w:tc>
          <w:tcPr>
            <w:tcW w:w="1665" w:type="pct"/>
            <w:vMerge w:val="continue"/>
            <w:vAlign w:val="center"/>
          </w:tcPr>
          <w:p>
            <w:pPr>
              <w:ind w:firstLine="0" w:firstLineChars="0"/>
              <w:jc w:val="center"/>
              <w:rPr>
                <w:rFonts w:cs="Times New Roman"/>
                <w:kern w:val="0"/>
                <w:sz w:val="18"/>
                <w:szCs w:val="18"/>
              </w:rPr>
            </w:pPr>
          </w:p>
        </w:tc>
      </w:tr>
    </w:tbl>
    <w:p>
      <w:pPr>
        <w:pStyle w:val="4"/>
        <w:ind w:right="210"/>
      </w:pPr>
      <w:r>
        <w:rPr>
          <w:rFonts w:hint="eastAsia"/>
        </w:rPr>
        <w:t>焊接实腹钢梁进场应抽查构件的尺寸偏差，其允许偏差应符合表</w:t>
      </w:r>
      <w:r>
        <w:t>7</w:t>
      </w:r>
      <w:r>
        <w:rPr>
          <w:rFonts w:hint="eastAsia"/>
        </w:rPr>
        <w:t>的要求，并满足现行国家标准GB 50205相关规定。</w:t>
      </w:r>
    </w:p>
    <w:p>
      <w:pPr>
        <w:ind w:firstLine="0" w:firstLineChars="0"/>
      </w:pPr>
      <w:r>
        <w:rPr>
          <w:rFonts w:hint="eastAsia"/>
        </w:rPr>
        <w:t>检查数量：按构件数量抽查10%，且不应少于3件。</w:t>
      </w:r>
    </w:p>
    <w:p>
      <w:pPr>
        <w:ind w:firstLine="0" w:firstLineChars="0"/>
      </w:pPr>
      <w:r>
        <w:rPr>
          <w:rFonts w:hint="eastAsia"/>
        </w:rPr>
        <w:t>检查方法：用钢尺、角尺、塞尺等检查。</w:t>
      </w:r>
    </w:p>
    <w:p>
      <w:pPr>
        <w:spacing w:line="400" w:lineRule="exact"/>
        <w:ind w:firstLine="0" w:firstLineChars="0"/>
        <w:jc w:val="center"/>
        <w:rPr>
          <w:rFonts w:ascii="黑体" w:hAnsi="黑体" w:eastAsia="黑体"/>
        </w:rPr>
      </w:pPr>
      <w:r>
        <w:rPr>
          <w:rFonts w:hint="eastAsia" w:ascii="黑体" w:hAnsi="黑体" w:eastAsia="黑体"/>
          <w:bCs/>
        </w:rPr>
        <w:t>表</w:t>
      </w:r>
      <w:r>
        <w:rPr>
          <w:rFonts w:ascii="黑体" w:hAnsi="黑体" w:eastAsia="黑体"/>
          <w:bCs/>
        </w:rPr>
        <w:t>7</w:t>
      </w:r>
      <w:r>
        <w:rPr>
          <w:rFonts w:hint="eastAsia" w:ascii="黑体" w:hAnsi="黑体" w:eastAsia="黑体" w:cs="黑体"/>
        </w:rPr>
        <w:t>　</w:t>
      </w:r>
      <w:r>
        <w:rPr>
          <w:rFonts w:hint="eastAsia" w:ascii="黑体" w:hAnsi="黑体" w:eastAsia="黑体"/>
        </w:rPr>
        <w:t>焊接实腹钢梁进场抽查外形尺寸的允许偏差（mm）</w:t>
      </w:r>
    </w:p>
    <w:tbl>
      <w:tblPr>
        <w:tblStyle w:val="34"/>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701"/>
        <w:gridCol w:w="1988"/>
        <w:gridCol w:w="2929"/>
        <w:gridCol w:w="29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1928" w:type="pct"/>
            <w:gridSpan w:val="2"/>
            <w:vAlign w:val="center"/>
          </w:tcPr>
          <w:p>
            <w:pPr>
              <w:ind w:firstLine="0" w:firstLineChars="0"/>
              <w:jc w:val="center"/>
              <w:rPr>
                <w:rFonts w:cs="Times New Roman"/>
                <w:kern w:val="0"/>
                <w:sz w:val="18"/>
                <w:szCs w:val="18"/>
              </w:rPr>
            </w:pPr>
            <w:r>
              <w:rPr>
                <w:rFonts w:cs="Times New Roman"/>
                <w:kern w:val="0"/>
                <w:sz w:val="18"/>
                <w:szCs w:val="18"/>
              </w:rPr>
              <w:t>项目</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允许偏差（mm）</w:t>
            </w:r>
          </w:p>
        </w:tc>
        <w:tc>
          <w:tcPr>
            <w:tcW w:w="1541" w:type="pct"/>
            <w:vAlign w:val="center"/>
          </w:tcPr>
          <w:p>
            <w:pPr>
              <w:ind w:firstLine="0" w:firstLineChars="0"/>
              <w:jc w:val="center"/>
              <w:rPr>
                <w:rFonts w:cs="Times New Roman"/>
                <w:kern w:val="0"/>
                <w:sz w:val="18"/>
                <w:szCs w:val="18"/>
              </w:rPr>
            </w:pPr>
            <w:r>
              <w:rPr>
                <w:rFonts w:cs="Times New Roman"/>
                <w:kern w:val="0"/>
                <w:sz w:val="18"/>
                <w:szCs w:val="18"/>
              </w:rPr>
              <w:t>检验方法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restart"/>
            <w:vAlign w:val="center"/>
          </w:tcPr>
          <w:p>
            <w:pPr>
              <w:ind w:firstLine="0" w:firstLineChars="0"/>
              <w:jc w:val="center"/>
              <w:rPr>
                <w:rFonts w:cs="Times New Roman"/>
                <w:kern w:val="0"/>
                <w:sz w:val="18"/>
                <w:szCs w:val="18"/>
              </w:rPr>
            </w:pPr>
            <w:r>
              <w:rPr>
                <w:rFonts w:cs="Times New Roman"/>
                <w:kern w:val="0"/>
                <w:sz w:val="18"/>
                <w:szCs w:val="18"/>
              </w:rPr>
              <w:t>梁长度</w:t>
            </w:r>
            <w:r>
              <w:rPr>
                <w:rFonts w:cs="Times New Roman"/>
                <w:i/>
                <w:iCs/>
                <w:kern w:val="0"/>
                <w:sz w:val="18"/>
                <w:szCs w:val="18"/>
              </w:rPr>
              <w:t>L</w:t>
            </w:r>
          </w:p>
        </w:tc>
        <w:tc>
          <w:tcPr>
            <w:tcW w:w="1037" w:type="pct"/>
            <w:vAlign w:val="center"/>
          </w:tcPr>
          <w:p>
            <w:pPr>
              <w:ind w:firstLine="0" w:firstLineChars="0"/>
              <w:jc w:val="center"/>
              <w:rPr>
                <w:rFonts w:cs="Times New Roman"/>
                <w:kern w:val="0"/>
                <w:sz w:val="18"/>
                <w:szCs w:val="18"/>
              </w:rPr>
            </w:pPr>
            <w:r>
              <w:rPr>
                <w:rFonts w:cs="Times New Roman"/>
                <w:kern w:val="0"/>
                <w:sz w:val="18"/>
                <w:szCs w:val="18"/>
              </w:rPr>
              <w:t>端部有凸缘支座板</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0</w:t>
            </w:r>
          </w:p>
          <w:p>
            <w:pPr>
              <w:ind w:firstLine="0" w:firstLineChars="0"/>
              <w:jc w:val="center"/>
              <w:rPr>
                <w:rFonts w:cs="Times New Roman"/>
                <w:kern w:val="0"/>
                <w:sz w:val="18"/>
                <w:szCs w:val="18"/>
              </w:rPr>
            </w:pPr>
            <w:r>
              <w:rPr>
                <w:rFonts w:cs="Times New Roman"/>
                <w:kern w:val="0"/>
                <w:sz w:val="18"/>
                <w:szCs w:val="18"/>
              </w:rPr>
              <w:t>-5.0</w:t>
            </w:r>
          </w:p>
        </w:tc>
        <w:tc>
          <w:tcPr>
            <w:tcW w:w="1541" w:type="pct"/>
            <w:vMerge w:val="restart"/>
            <w:vAlign w:val="center"/>
          </w:tcPr>
          <w:p>
            <w:pPr>
              <w:ind w:firstLine="0" w:firstLineChars="0"/>
              <w:jc w:val="center"/>
              <w:rPr>
                <w:rFonts w:cs="Times New Roman"/>
                <w:kern w:val="0"/>
                <w:sz w:val="18"/>
                <w:szCs w:val="18"/>
              </w:rPr>
            </w:pPr>
            <w:r>
              <w:rPr>
                <w:rFonts w:cs="Times New Roman"/>
                <w:kern w:val="0"/>
                <w:sz w:val="18"/>
                <w:szCs w:val="18"/>
              </w:rPr>
              <w:t>用钢尺检查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continue"/>
            <w:vAlign w:val="center"/>
          </w:tcPr>
          <w:p>
            <w:pPr>
              <w:ind w:firstLine="0" w:firstLineChars="0"/>
              <w:jc w:val="center"/>
              <w:rPr>
                <w:rFonts w:cs="Times New Roman"/>
                <w:kern w:val="0"/>
                <w:sz w:val="18"/>
                <w:szCs w:val="18"/>
              </w:rPr>
            </w:pPr>
          </w:p>
        </w:tc>
        <w:tc>
          <w:tcPr>
            <w:tcW w:w="1037" w:type="pct"/>
            <w:vAlign w:val="center"/>
          </w:tcPr>
          <w:p>
            <w:pPr>
              <w:ind w:firstLine="0" w:firstLineChars="0"/>
              <w:jc w:val="center"/>
              <w:rPr>
                <w:rFonts w:cs="Times New Roman"/>
                <w:kern w:val="0"/>
                <w:sz w:val="18"/>
                <w:szCs w:val="18"/>
              </w:rPr>
            </w:pPr>
            <w:r>
              <w:rPr>
                <w:rFonts w:cs="Times New Roman"/>
                <w:kern w:val="0"/>
                <w:sz w:val="18"/>
                <w:szCs w:val="18"/>
              </w:rPr>
              <w:t>其他形式</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w:t>
            </w:r>
            <w:r>
              <w:rPr>
                <w:rFonts w:cs="Times New Roman"/>
                <w:i/>
                <w:iCs/>
                <w:kern w:val="0"/>
                <w:sz w:val="18"/>
                <w:szCs w:val="18"/>
              </w:rPr>
              <w:t>L</w:t>
            </w:r>
            <w:r>
              <w:rPr>
                <w:rFonts w:cs="Times New Roman"/>
                <w:kern w:val="0"/>
                <w:sz w:val="18"/>
                <w:szCs w:val="18"/>
              </w:rPr>
              <w:t>/2500，且不超过±5.0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restart"/>
            <w:vAlign w:val="center"/>
          </w:tcPr>
          <w:p>
            <w:pPr>
              <w:ind w:firstLine="0" w:firstLineChars="0"/>
              <w:jc w:val="center"/>
              <w:rPr>
                <w:rFonts w:cs="Times New Roman"/>
                <w:kern w:val="0"/>
                <w:sz w:val="18"/>
                <w:szCs w:val="18"/>
              </w:rPr>
            </w:pPr>
            <w:r>
              <w:rPr>
                <w:rFonts w:cs="Times New Roman"/>
                <w:kern w:val="0"/>
                <w:sz w:val="18"/>
                <w:szCs w:val="18"/>
              </w:rPr>
              <w:t>端部高度</w:t>
            </w:r>
          </w:p>
        </w:tc>
        <w:tc>
          <w:tcPr>
            <w:tcW w:w="1037" w:type="pct"/>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≤2000</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±2.0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continue"/>
            <w:vAlign w:val="center"/>
          </w:tcPr>
          <w:p>
            <w:pPr>
              <w:ind w:firstLine="0" w:firstLineChars="0"/>
              <w:jc w:val="center"/>
              <w:rPr>
                <w:rFonts w:cs="Times New Roman"/>
                <w:kern w:val="0"/>
                <w:sz w:val="18"/>
                <w:szCs w:val="18"/>
              </w:rPr>
            </w:pPr>
          </w:p>
        </w:tc>
        <w:tc>
          <w:tcPr>
            <w:tcW w:w="1037" w:type="pct"/>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＞2000</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±3.0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restart"/>
            <w:vAlign w:val="center"/>
          </w:tcPr>
          <w:p>
            <w:pPr>
              <w:ind w:firstLine="0" w:firstLineChars="0"/>
              <w:jc w:val="center"/>
              <w:rPr>
                <w:rFonts w:cs="Times New Roman"/>
                <w:kern w:val="0"/>
                <w:sz w:val="18"/>
                <w:szCs w:val="18"/>
              </w:rPr>
            </w:pPr>
            <w:r>
              <w:rPr>
                <w:rFonts w:cs="Times New Roman"/>
                <w:kern w:val="0"/>
                <w:sz w:val="18"/>
                <w:szCs w:val="18"/>
              </w:rPr>
              <w:t>拱度</w:t>
            </w:r>
          </w:p>
        </w:tc>
        <w:tc>
          <w:tcPr>
            <w:tcW w:w="1037" w:type="pct"/>
            <w:vAlign w:val="center"/>
          </w:tcPr>
          <w:p>
            <w:pPr>
              <w:ind w:firstLine="0" w:firstLineChars="0"/>
              <w:jc w:val="center"/>
              <w:rPr>
                <w:rFonts w:cs="Times New Roman"/>
                <w:kern w:val="0"/>
                <w:sz w:val="18"/>
                <w:szCs w:val="18"/>
              </w:rPr>
            </w:pPr>
            <w:r>
              <w:rPr>
                <w:rFonts w:cs="Times New Roman"/>
                <w:kern w:val="0"/>
                <w:sz w:val="18"/>
                <w:szCs w:val="18"/>
              </w:rPr>
              <w:t>设计要求起拱</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w:t>
            </w:r>
            <w:r>
              <w:rPr>
                <w:rFonts w:cs="Times New Roman"/>
                <w:i/>
                <w:iCs/>
                <w:kern w:val="0"/>
                <w:sz w:val="18"/>
                <w:szCs w:val="18"/>
              </w:rPr>
              <w:t>L</w:t>
            </w:r>
            <w:r>
              <w:rPr>
                <w:rFonts w:cs="Times New Roman"/>
                <w:kern w:val="0"/>
                <w:sz w:val="18"/>
                <w:szCs w:val="18"/>
              </w:rPr>
              <w:t>/5000</w:t>
            </w:r>
          </w:p>
        </w:tc>
        <w:tc>
          <w:tcPr>
            <w:tcW w:w="1541" w:type="pct"/>
            <w:vMerge w:val="restart"/>
            <w:vAlign w:val="center"/>
          </w:tcPr>
          <w:p>
            <w:pPr>
              <w:ind w:firstLine="0" w:firstLineChars="0"/>
              <w:jc w:val="center"/>
              <w:rPr>
                <w:rFonts w:cs="Times New Roman"/>
                <w:kern w:val="0"/>
                <w:sz w:val="18"/>
                <w:szCs w:val="18"/>
              </w:rPr>
            </w:pPr>
            <w:r>
              <w:rPr>
                <w:rFonts w:cs="Times New Roman"/>
                <w:kern w:val="0"/>
                <w:sz w:val="18"/>
                <w:szCs w:val="18"/>
              </w:rPr>
              <w:t>用拉线和钢尺检查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continue"/>
            <w:vAlign w:val="center"/>
          </w:tcPr>
          <w:p>
            <w:pPr>
              <w:ind w:firstLine="0" w:firstLineChars="0"/>
              <w:jc w:val="center"/>
              <w:rPr>
                <w:rFonts w:cs="Times New Roman"/>
                <w:kern w:val="0"/>
                <w:sz w:val="18"/>
                <w:szCs w:val="18"/>
              </w:rPr>
            </w:pPr>
          </w:p>
        </w:tc>
        <w:tc>
          <w:tcPr>
            <w:tcW w:w="1037" w:type="pct"/>
            <w:vAlign w:val="center"/>
          </w:tcPr>
          <w:p>
            <w:pPr>
              <w:ind w:firstLine="0" w:firstLineChars="0"/>
              <w:jc w:val="center"/>
              <w:rPr>
                <w:rFonts w:cs="Times New Roman"/>
                <w:kern w:val="0"/>
                <w:sz w:val="18"/>
                <w:szCs w:val="18"/>
              </w:rPr>
            </w:pPr>
            <w:r>
              <w:rPr>
                <w:rFonts w:cs="Times New Roman"/>
                <w:kern w:val="0"/>
                <w:sz w:val="18"/>
                <w:szCs w:val="18"/>
              </w:rPr>
              <w:t>设计未要求起拱</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10.0</w:t>
            </w:r>
          </w:p>
          <w:p>
            <w:pPr>
              <w:ind w:firstLine="0" w:firstLineChars="0"/>
              <w:jc w:val="center"/>
              <w:rPr>
                <w:rFonts w:cs="Times New Roman"/>
                <w:kern w:val="0"/>
                <w:sz w:val="18"/>
                <w:szCs w:val="18"/>
              </w:rPr>
            </w:pPr>
            <w:r>
              <w:rPr>
                <w:rFonts w:cs="Times New Roman"/>
                <w:kern w:val="0"/>
                <w:sz w:val="18"/>
                <w:szCs w:val="18"/>
              </w:rPr>
              <w:t>-5.0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27" w:type="pct"/>
            <w:gridSpan w:val="2"/>
            <w:vAlign w:val="center"/>
          </w:tcPr>
          <w:p>
            <w:pPr>
              <w:ind w:firstLine="0" w:firstLineChars="0"/>
              <w:jc w:val="center"/>
              <w:rPr>
                <w:rFonts w:cs="Times New Roman"/>
                <w:kern w:val="0"/>
                <w:sz w:val="18"/>
                <w:szCs w:val="18"/>
              </w:rPr>
            </w:pPr>
            <w:r>
              <w:rPr>
                <w:rFonts w:cs="Times New Roman"/>
                <w:kern w:val="0"/>
                <w:sz w:val="18"/>
                <w:szCs w:val="18"/>
              </w:rPr>
              <w:t>侧弯矢高</w:t>
            </w:r>
          </w:p>
        </w:tc>
        <w:tc>
          <w:tcPr>
            <w:tcW w:w="1531" w:type="pct"/>
            <w:vAlign w:val="center"/>
          </w:tcPr>
          <w:p>
            <w:pPr>
              <w:ind w:firstLine="0" w:firstLineChars="0"/>
              <w:jc w:val="center"/>
              <w:rPr>
                <w:rFonts w:cs="Times New Roman"/>
                <w:kern w:val="0"/>
                <w:sz w:val="18"/>
                <w:szCs w:val="18"/>
              </w:rPr>
            </w:pPr>
            <w:r>
              <w:rPr>
                <w:rFonts w:cs="Times New Roman"/>
                <w:i/>
                <w:iCs/>
                <w:kern w:val="0"/>
                <w:sz w:val="18"/>
                <w:szCs w:val="18"/>
              </w:rPr>
              <w:t>L</w:t>
            </w:r>
            <w:r>
              <w:rPr>
                <w:rFonts w:cs="Times New Roman"/>
                <w:kern w:val="0"/>
                <w:sz w:val="18"/>
                <w:szCs w:val="18"/>
              </w:rPr>
              <w:t>/2000，且不大于10.0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27" w:type="pct"/>
            <w:gridSpan w:val="2"/>
            <w:vAlign w:val="center"/>
          </w:tcPr>
          <w:p>
            <w:pPr>
              <w:ind w:firstLine="0" w:firstLineChars="0"/>
              <w:jc w:val="center"/>
              <w:rPr>
                <w:rFonts w:cs="Times New Roman"/>
                <w:kern w:val="0"/>
                <w:sz w:val="18"/>
                <w:szCs w:val="18"/>
              </w:rPr>
            </w:pPr>
            <w:r>
              <w:rPr>
                <w:rFonts w:cs="Times New Roman"/>
                <w:kern w:val="0"/>
                <w:sz w:val="18"/>
                <w:szCs w:val="18"/>
              </w:rPr>
              <w:t>扭曲</w:t>
            </w:r>
          </w:p>
        </w:tc>
        <w:tc>
          <w:tcPr>
            <w:tcW w:w="1531" w:type="pct"/>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/250，且不大于10.0</w:t>
            </w:r>
          </w:p>
        </w:tc>
        <w:tc>
          <w:tcPr>
            <w:tcW w:w="1541" w:type="pct"/>
            <w:vAlign w:val="center"/>
          </w:tcPr>
          <w:p>
            <w:pPr>
              <w:ind w:firstLine="0" w:firstLineChars="0"/>
              <w:jc w:val="center"/>
              <w:rPr>
                <w:rFonts w:cs="Times New Roman"/>
                <w:kern w:val="0"/>
                <w:sz w:val="18"/>
                <w:szCs w:val="18"/>
              </w:rPr>
            </w:pPr>
            <w:r>
              <w:rPr>
                <w:rFonts w:cs="Times New Roman"/>
                <w:kern w:val="0"/>
                <w:sz w:val="18"/>
                <w:szCs w:val="18"/>
              </w:rPr>
              <w:t>用拉线、吊线和钢尺检查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9" w:type="pct"/>
            <w:vMerge w:val="restart"/>
            <w:vAlign w:val="center"/>
          </w:tcPr>
          <w:p>
            <w:pPr>
              <w:ind w:firstLine="0" w:firstLineChars="0"/>
              <w:jc w:val="center"/>
              <w:rPr>
                <w:rFonts w:cs="Times New Roman"/>
                <w:kern w:val="0"/>
                <w:sz w:val="18"/>
                <w:szCs w:val="18"/>
              </w:rPr>
            </w:pPr>
            <w:r>
              <w:rPr>
                <w:rFonts w:cs="Times New Roman"/>
                <w:kern w:val="0"/>
                <w:sz w:val="18"/>
                <w:szCs w:val="18"/>
              </w:rPr>
              <w:t>腹板局部平整度</w:t>
            </w:r>
          </w:p>
        </w:tc>
        <w:tc>
          <w:tcPr>
            <w:tcW w:w="1037" w:type="pct"/>
            <w:vAlign w:val="center"/>
          </w:tcPr>
          <w:p>
            <w:pPr>
              <w:ind w:firstLine="0" w:firstLineChars="0"/>
              <w:jc w:val="center"/>
              <w:rPr>
                <w:rFonts w:cs="Times New Roman"/>
                <w:kern w:val="0"/>
                <w:sz w:val="18"/>
                <w:szCs w:val="18"/>
              </w:rPr>
            </w:pPr>
            <w:r>
              <w:rPr>
                <w:rFonts w:cs="Times New Roman"/>
                <w:i/>
                <w:iCs/>
                <w:kern w:val="0"/>
                <w:sz w:val="18"/>
                <w:szCs w:val="18"/>
              </w:rPr>
              <w:t>t</w:t>
            </w:r>
            <w:r>
              <w:rPr>
                <w:rFonts w:cs="Times New Roman"/>
                <w:kern w:val="0"/>
                <w:sz w:val="18"/>
                <w:szCs w:val="18"/>
              </w:rPr>
              <w:t>≤6</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5.0</w:t>
            </w:r>
          </w:p>
        </w:tc>
        <w:tc>
          <w:tcPr>
            <w:tcW w:w="1541" w:type="pct"/>
            <w:vMerge w:val="restart"/>
            <w:vAlign w:val="center"/>
          </w:tcPr>
          <w:p>
            <w:pPr>
              <w:ind w:firstLine="0" w:firstLineChars="0"/>
              <w:jc w:val="center"/>
              <w:rPr>
                <w:rFonts w:cs="Times New Roman"/>
                <w:kern w:val="0"/>
                <w:sz w:val="18"/>
                <w:szCs w:val="18"/>
              </w:rPr>
            </w:pPr>
            <w:r>
              <w:rPr>
                <w:rFonts w:cs="Times New Roman"/>
                <w:kern w:val="0"/>
                <w:sz w:val="18"/>
                <w:szCs w:val="18"/>
              </w:rPr>
              <w:t>用1m直尺和塞尺检查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889" w:type="pct"/>
            <w:vMerge w:val="continue"/>
            <w:vAlign w:val="center"/>
          </w:tcPr>
          <w:p>
            <w:pPr>
              <w:ind w:firstLine="0" w:firstLineChars="0"/>
              <w:jc w:val="center"/>
              <w:rPr>
                <w:rFonts w:cs="Times New Roman"/>
                <w:kern w:val="0"/>
                <w:sz w:val="18"/>
                <w:szCs w:val="18"/>
              </w:rPr>
            </w:pPr>
          </w:p>
        </w:tc>
        <w:tc>
          <w:tcPr>
            <w:tcW w:w="1037" w:type="pct"/>
            <w:vAlign w:val="center"/>
          </w:tcPr>
          <w:p>
            <w:pPr>
              <w:ind w:firstLine="0" w:firstLineChars="0"/>
              <w:jc w:val="center"/>
              <w:rPr>
                <w:rFonts w:cs="Times New Roman"/>
                <w:kern w:val="0"/>
                <w:sz w:val="18"/>
                <w:szCs w:val="18"/>
              </w:rPr>
            </w:pPr>
            <w:r>
              <w:rPr>
                <w:rFonts w:cs="Times New Roman"/>
                <w:kern w:val="0"/>
                <w:sz w:val="18"/>
                <w:szCs w:val="18"/>
              </w:rPr>
              <w:t>6＜</w:t>
            </w:r>
            <w:r>
              <w:rPr>
                <w:rFonts w:cs="Times New Roman"/>
                <w:i/>
                <w:iCs/>
                <w:kern w:val="0"/>
                <w:sz w:val="18"/>
                <w:szCs w:val="18"/>
              </w:rPr>
              <w:t>t</w:t>
            </w:r>
            <w:r>
              <w:rPr>
                <w:rFonts w:cs="Times New Roman"/>
                <w:kern w:val="0"/>
                <w:sz w:val="18"/>
                <w:szCs w:val="18"/>
              </w:rPr>
              <w:t>≤6</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4.0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889" w:type="pct"/>
            <w:vMerge w:val="continue"/>
            <w:vAlign w:val="center"/>
          </w:tcPr>
          <w:p>
            <w:pPr>
              <w:ind w:firstLine="0" w:firstLineChars="0"/>
              <w:jc w:val="center"/>
              <w:rPr>
                <w:rFonts w:cs="Times New Roman"/>
                <w:kern w:val="0"/>
                <w:sz w:val="18"/>
                <w:szCs w:val="18"/>
              </w:rPr>
            </w:pPr>
          </w:p>
        </w:tc>
        <w:tc>
          <w:tcPr>
            <w:tcW w:w="1037" w:type="pct"/>
            <w:vAlign w:val="center"/>
          </w:tcPr>
          <w:p>
            <w:pPr>
              <w:ind w:firstLine="0" w:firstLineChars="0"/>
              <w:jc w:val="center"/>
              <w:rPr>
                <w:rFonts w:cs="Times New Roman"/>
                <w:kern w:val="0"/>
                <w:sz w:val="18"/>
                <w:szCs w:val="18"/>
              </w:rPr>
            </w:pPr>
            <w:r>
              <w:rPr>
                <w:rFonts w:cs="Times New Roman"/>
                <w:i/>
                <w:iCs/>
                <w:kern w:val="0"/>
                <w:sz w:val="18"/>
                <w:szCs w:val="18"/>
              </w:rPr>
              <w:t>t</w:t>
            </w:r>
            <w:r>
              <w:rPr>
                <w:rFonts w:cs="Times New Roman"/>
                <w:kern w:val="0"/>
                <w:sz w:val="18"/>
                <w:szCs w:val="18"/>
              </w:rPr>
              <w:t>≥6</w:t>
            </w:r>
          </w:p>
        </w:tc>
        <w:tc>
          <w:tcPr>
            <w:tcW w:w="1531" w:type="pct"/>
            <w:vAlign w:val="center"/>
          </w:tcPr>
          <w:p>
            <w:pPr>
              <w:ind w:firstLine="0" w:firstLineChars="0"/>
              <w:jc w:val="center"/>
              <w:rPr>
                <w:rFonts w:cs="Times New Roman"/>
                <w:kern w:val="0"/>
                <w:sz w:val="18"/>
                <w:szCs w:val="18"/>
              </w:rPr>
            </w:pPr>
            <w:r>
              <w:rPr>
                <w:rFonts w:cs="Times New Roman"/>
                <w:kern w:val="0"/>
                <w:sz w:val="18"/>
                <w:szCs w:val="18"/>
              </w:rPr>
              <w:t>3.0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1927" w:type="pct"/>
            <w:gridSpan w:val="2"/>
            <w:vAlign w:val="center"/>
          </w:tcPr>
          <w:p>
            <w:pPr>
              <w:ind w:firstLine="0" w:firstLineChars="0"/>
              <w:jc w:val="center"/>
              <w:rPr>
                <w:rFonts w:cs="Times New Roman"/>
                <w:kern w:val="0"/>
                <w:sz w:val="18"/>
                <w:szCs w:val="18"/>
              </w:rPr>
            </w:pPr>
            <w:r>
              <w:rPr>
                <w:rFonts w:cs="Times New Roman"/>
                <w:kern w:val="0"/>
                <w:sz w:val="18"/>
                <w:szCs w:val="18"/>
              </w:rPr>
              <w:t>翼缘板对腹板的垂直度</w:t>
            </w:r>
          </w:p>
        </w:tc>
        <w:tc>
          <w:tcPr>
            <w:tcW w:w="1531" w:type="pct"/>
            <w:vAlign w:val="center"/>
          </w:tcPr>
          <w:p>
            <w:pPr>
              <w:ind w:firstLine="0" w:firstLineChars="0"/>
              <w:jc w:val="center"/>
              <w:rPr>
                <w:rFonts w:cs="Times New Roman"/>
                <w:kern w:val="0"/>
                <w:sz w:val="18"/>
                <w:szCs w:val="18"/>
              </w:rPr>
            </w:pPr>
            <w:r>
              <w:rPr>
                <w:rFonts w:cs="Times New Roman"/>
                <w:i/>
                <w:iCs/>
                <w:kern w:val="0"/>
                <w:sz w:val="18"/>
                <w:szCs w:val="18"/>
              </w:rPr>
              <w:t>b</w:t>
            </w:r>
            <w:r>
              <w:rPr>
                <w:rFonts w:cs="Times New Roman"/>
                <w:kern w:val="0"/>
                <w:sz w:val="18"/>
                <w:szCs w:val="18"/>
              </w:rPr>
              <w:t>/100，且不大于3.0</w:t>
            </w:r>
          </w:p>
        </w:tc>
        <w:tc>
          <w:tcPr>
            <w:tcW w:w="1541" w:type="pct"/>
            <w:vMerge w:val="restart"/>
            <w:vAlign w:val="center"/>
          </w:tcPr>
          <w:p>
            <w:pPr>
              <w:ind w:firstLine="0" w:firstLineChars="0"/>
              <w:jc w:val="center"/>
              <w:rPr>
                <w:rFonts w:cs="Times New Roman"/>
                <w:kern w:val="0"/>
                <w:sz w:val="18"/>
                <w:szCs w:val="18"/>
              </w:rPr>
            </w:pPr>
            <w:r>
              <w:rPr>
                <w:rFonts w:cs="Times New Roman"/>
                <w:kern w:val="0"/>
                <w:sz w:val="18"/>
                <w:szCs w:val="18"/>
              </w:rPr>
              <w:t>用直角尺和钢尺检查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1927" w:type="pct"/>
            <w:gridSpan w:val="2"/>
            <w:vAlign w:val="center"/>
          </w:tcPr>
          <w:p>
            <w:pPr>
              <w:ind w:firstLine="0" w:firstLineChars="0"/>
              <w:jc w:val="center"/>
              <w:rPr>
                <w:rFonts w:cs="Times New Roman"/>
                <w:kern w:val="0"/>
                <w:sz w:val="18"/>
                <w:szCs w:val="18"/>
              </w:rPr>
            </w:pPr>
            <w:r>
              <w:rPr>
                <w:rFonts w:cs="Times New Roman"/>
                <w:kern w:val="0"/>
                <w:sz w:val="18"/>
                <w:szCs w:val="18"/>
              </w:rPr>
              <w:t>梁端板的平面度</w:t>
            </w:r>
          </w:p>
        </w:tc>
        <w:tc>
          <w:tcPr>
            <w:tcW w:w="1531" w:type="pct"/>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/500，且不大于2.0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1927" w:type="pct"/>
            <w:gridSpan w:val="2"/>
            <w:vAlign w:val="center"/>
          </w:tcPr>
          <w:p>
            <w:pPr>
              <w:ind w:firstLine="0" w:firstLineChars="0"/>
              <w:jc w:val="center"/>
              <w:rPr>
                <w:rFonts w:cs="Times New Roman"/>
                <w:kern w:val="0"/>
                <w:sz w:val="18"/>
                <w:szCs w:val="18"/>
              </w:rPr>
            </w:pPr>
            <w:r>
              <w:rPr>
                <w:rFonts w:cs="Times New Roman"/>
                <w:kern w:val="0"/>
                <w:sz w:val="18"/>
                <w:szCs w:val="18"/>
              </w:rPr>
              <w:t>梁端板与腹板的垂直度</w:t>
            </w:r>
          </w:p>
        </w:tc>
        <w:tc>
          <w:tcPr>
            <w:tcW w:w="1531" w:type="pct"/>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/500，且不大于2.0</w:t>
            </w:r>
          </w:p>
        </w:tc>
        <w:tc>
          <w:tcPr>
            <w:tcW w:w="1541"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1" w:type="pct"/>
            <w:gridSpan w:val="4"/>
            <w:vAlign w:val="center"/>
          </w:tcPr>
          <w:p>
            <w:pPr>
              <w:spacing w:line="240" w:lineRule="auto"/>
              <w:ind w:firstLine="0" w:firstLineChars="0"/>
              <w:jc w:val="left"/>
              <w:rPr>
                <w:rFonts w:cs="Times New Roman"/>
                <w:kern w:val="0"/>
                <w:sz w:val="18"/>
                <w:szCs w:val="18"/>
              </w:rPr>
            </w:pPr>
            <w:r>
              <w:rPr>
                <w:rFonts w:cs="Times New Roman"/>
                <w:sz w:val="18"/>
                <w:szCs w:val="18"/>
              </w:rPr>
              <w:t>注：1</w:t>
            </w:r>
            <w:r>
              <w:rPr>
                <w:rFonts w:cs="Times New Roman"/>
                <w:color w:val="000000"/>
                <w:sz w:val="18"/>
                <w:szCs w:val="18"/>
              </w:rPr>
              <w:t>、</w:t>
            </w:r>
            <w:r>
              <w:rPr>
                <w:rFonts w:cs="Times New Roman"/>
                <w:i/>
                <w:iCs/>
                <w:sz w:val="18"/>
                <w:szCs w:val="18"/>
              </w:rPr>
              <w:t>h</w:t>
            </w:r>
            <w:r>
              <w:rPr>
                <w:rFonts w:cs="Times New Roman"/>
                <w:sz w:val="18"/>
                <w:szCs w:val="18"/>
              </w:rPr>
              <w:t>为梁截面高度，</w:t>
            </w:r>
            <w:r>
              <w:rPr>
                <w:rFonts w:cs="Times New Roman"/>
                <w:i/>
                <w:iCs/>
                <w:sz w:val="18"/>
                <w:szCs w:val="18"/>
              </w:rPr>
              <w:t>t</w:t>
            </w:r>
            <w:r>
              <w:rPr>
                <w:rFonts w:cs="Times New Roman"/>
                <w:sz w:val="18"/>
                <w:szCs w:val="18"/>
              </w:rPr>
              <w:t>为腹板厚度，</w:t>
            </w:r>
            <w:r>
              <w:rPr>
                <w:rFonts w:cs="Times New Roman"/>
                <w:i/>
                <w:iCs/>
                <w:sz w:val="18"/>
                <w:szCs w:val="18"/>
              </w:rPr>
              <w:t>b</w:t>
            </w:r>
            <w:r>
              <w:rPr>
                <w:rFonts w:cs="Times New Roman"/>
                <w:sz w:val="18"/>
                <w:szCs w:val="18"/>
              </w:rPr>
              <w:t>为梁截面宽度。</w:t>
            </w:r>
          </w:p>
        </w:tc>
      </w:tr>
    </w:tbl>
    <w:p>
      <w:pPr>
        <w:pStyle w:val="4"/>
        <w:ind w:right="210"/>
      </w:pPr>
      <w:r>
        <w:rPr>
          <w:rFonts w:hint="eastAsia"/>
        </w:rPr>
        <w:t>焊接H型钢的翼缘板拼接逢和腹板拼接逢错开的间距不宜小于200mm。翼缘板拼接长度不应小于2倍翼缘板宽且不小于600mm；腹板拼接宽度不应小于300mm，长度不应小于600mm。</w:t>
      </w:r>
    </w:p>
    <w:p>
      <w:pPr>
        <w:ind w:firstLine="0" w:firstLineChars="0"/>
      </w:pPr>
      <w:r>
        <w:rPr>
          <w:rFonts w:hint="eastAsia"/>
        </w:rPr>
        <w:t>检查数量：全数检查。</w:t>
      </w:r>
    </w:p>
    <w:p>
      <w:pPr>
        <w:ind w:firstLine="0" w:firstLineChars="0"/>
      </w:pPr>
      <w:r>
        <w:rPr>
          <w:rFonts w:hint="eastAsia"/>
        </w:rPr>
        <w:t>检验方法：观察和用钢尺检查。</w:t>
      </w:r>
    </w:p>
    <w:p>
      <w:pPr>
        <w:pStyle w:val="4"/>
        <w:ind w:right="210"/>
      </w:pPr>
      <w:r>
        <w:rPr>
          <w:rFonts w:hint="eastAsia"/>
        </w:rPr>
        <w:t>热轧型钢可采用直口全熔透焊接拼接，其拼接长度不应小于2倍截面高度，且不应小于600mm。动载或设计有疲劳验算要求的应满足其设计要求。</w:t>
      </w:r>
    </w:p>
    <w:p>
      <w:pPr>
        <w:ind w:firstLine="0" w:firstLineChars="0"/>
      </w:pPr>
      <w:r>
        <w:rPr>
          <w:rFonts w:hint="eastAsia"/>
        </w:rPr>
        <w:t>检查数量：全数检查。</w:t>
      </w:r>
    </w:p>
    <w:p>
      <w:pPr>
        <w:ind w:firstLine="0" w:firstLineChars="0"/>
      </w:pPr>
      <w:r>
        <w:rPr>
          <w:rFonts w:hint="eastAsia"/>
        </w:rPr>
        <w:t>检验方法：观察和用钢尺检查。</w:t>
      </w:r>
    </w:p>
    <w:p>
      <w:pPr>
        <w:pStyle w:val="4"/>
        <w:keepNext w:val="0"/>
        <w:keepLines w:val="0"/>
        <w:ind w:right="210"/>
      </w:pPr>
      <w:r>
        <w:rPr>
          <w:rFonts w:hint="eastAsia"/>
        </w:rPr>
        <w:t>预制构件的外观质量不应有一般缺陷。</w:t>
      </w:r>
    </w:p>
    <w:p>
      <w:pPr>
        <w:ind w:firstLine="0" w:firstLineChars="0"/>
      </w:pPr>
      <w:r>
        <w:rPr>
          <w:rFonts w:hint="eastAsia"/>
        </w:rPr>
        <w:t>检查数量：全数检查。</w:t>
      </w:r>
    </w:p>
    <w:p>
      <w:pPr>
        <w:ind w:firstLine="0" w:firstLineChars="0"/>
      </w:pPr>
      <w:r>
        <w:rPr>
          <w:rFonts w:hint="eastAsia"/>
        </w:rPr>
        <w:t>检验方法：观察，检查处理记录。</w:t>
      </w:r>
    </w:p>
    <w:p>
      <w:pPr>
        <w:pStyle w:val="4"/>
        <w:ind w:right="210"/>
      </w:pPr>
      <w:r>
        <w:rPr>
          <w:rFonts w:hint="eastAsia"/>
        </w:rPr>
        <w:t>预制构件应在显著位置统一进行标识，标识内容宜包括生产单位、构件编号、制作日期、合格状态等信息。</w:t>
      </w:r>
    </w:p>
    <w:p>
      <w:pPr>
        <w:ind w:firstLine="0" w:firstLineChars="0"/>
      </w:pPr>
      <w:r>
        <w:rPr>
          <w:rFonts w:hint="eastAsia"/>
        </w:rPr>
        <w:t>检查数量：全数检查。</w:t>
      </w:r>
    </w:p>
    <w:p>
      <w:pPr>
        <w:ind w:firstLine="0" w:firstLineChars="0"/>
      </w:pPr>
      <w:r>
        <w:rPr>
          <w:rFonts w:hint="eastAsia"/>
        </w:rPr>
        <w:t>检验方法：观察。</w:t>
      </w:r>
    </w:p>
    <w:p>
      <w:pPr>
        <w:pStyle w:val="3"/>
        <w:keepNext w:val="0"/>
        <w:keepLines w:val="0"/>
        <w:spacing w:before="120" w:after="120"/>
      </w:pPr>
      <w:bookmarkStart w:id="212" w:name="_Toc12977"/>
      <w:bookmarkStart w:id="213" w:name="_Toc186641511"/>
      <w:bookmarkStart w:id="214" w:name="_Toc28718"/>
      <w:r>
        <w:rPr>
          <w:rFonts w:hint="eastAsia"/>
        </w:rPr>
        <w:t>安装与连接</w:t>
      </w:r>
      <w:bookmarkEnd w:id="212"/>
      <w:bookmarkEnd w:id="213"/>
      <w:bookmarkEnd w:id="214"/>
    </w:p>
    <w:p>
      <w:pPr>
        <w:ind w:firstLine="0" w:firstLineChars="0"/>
        <w:jc w:val="center"/>
      </w:pPr>
      <w:r>
        <w:rPr>
          <w:rFonts w:cs="Times New Roman"/>
        </w:rPr>
        <w:t xml:space="preserve">Ⅰ </w:t>
      </w:r>
      <w:r>
        <w:rPr>
          <w:rFonts w:hint="eastAsia"/>
        </w:rPr>
        <w:t xml:space="preserve"> 主控项目</w:t>
      </w:r>
    </w:p>
    <w:p>
      <w:pPr>
        <w:pStyle w:val="4"/>
        <w:ind w:right="210"/>
      </w:pPr>
      <w:r>
        <w:rPr>
          <w:rFonts w:hint="eastAsia"/>
        </w:rPr>
        <w:t>钢管混凝土柱柱脚的构造、埋置深度、混凝土强度及连接锚固件的品种、规格、数量、位置等应符合设计要求和现行国家标准GB 50205和GB 50628相关规定。</w:t>
      </w:r>
    </w:p>
    <w:p>
      <w:pPr>
        <w:ind w:firstLine="0" w:firstLineChars="0"/>
      </w:pPr>
      <w:r>
        <w:rPr>
          <w:rFonts w:hint="eastAsia"/>
        </w:rPr>
        <w:t>检查数量：全数检查。</w:t>
      </w:r>
    </w:p>
    <w:p>
      <w:pPr>
        <w:ind w:firstLine="0" w:firstLineChars="0"/>
      </w:pPr>
      <w:r>
        <w:rPr>
          <w:rFonts w:hint="eastAsia"/>
        </w:rPr>
        <w:t>检验方法：观察检查、尺量检查、检查混凝土试件强度报告、检查柱脚预埋钢板验收记录。</w:t>
      </w:r>
    </w:p>
    <w:p>
      <w:pPr>
        <w:pStyle w:val="4"/>
        <w:ind w:right="210"/>
      </w:pPr>
      <w:r>
        <w:rPr>
          <w:rFonts w:hint="eastAsia"/>
        </w:rPr>
        <w:t>设计要求顶紧的构件或节点、钢柱现场拼接接头接触面不应少于70%密贴，且边缘最大间隙不应大于0.8mm。</w:t>
      </w:r>
    </w:p>
    <w:p>
      <w:pPr>
        <w:pStyle w:val="4"/>
        <w:numPr>
          <w:ilvl w:val="0"/>
          <w:numId w:val="0"/>
        </w:numPr>
        <w:ind w:right="210"/>
      </w:pPr>
      <w:r>
        <w:rPr>
          <w:rFonts w:hint="eastAsia"/>
        </w:rPr>
        <w:t>检查数量：按节点或接头数抽查10%，且不应少于3个。</w:t>
      </w:r>
    </w:p>
    <w:p>
      <w:pPr>
        <w:pStyle w:val="4"/>
        <w:numPr>
          <w:ilvl w:val="0"/>
          <w:numId w:val="0"/>
        </w:numPr>
        <w:ind w:right="210"/>
      </w:pPr>
      <w:r>
        <w:rPr>
          <w:rFonts w:hint="eastAsia"/>
        </w:rPr>
        <w:t>检验方法：用钢尺及0.3mm和0.8mm的塞尺现场实测。</w:t>
      </w:r>
    </w:p>
    <w:p>
      <w:pPr>
        <w:pStyle w:val="4"/>
        <w:ind w:right="210"/>
      </w:pPr>
      <w:r>
        <w:rPr>
          <w:rFonts w:hint="eastAsia"/>
        </w:rPr>
        <w:t>钢主梁、次梁的垂直度和侧向弯曲矢高的允许偏差应满足表</w:t>
      </w:r>
      <w:r>
        <w:t>8</w:t>
      </w:r>
      <w:r>
        <w:rPr>
          <w:rFonts w:hint="eastAsia"/>
        </w:rPr>
        <w:t>的要求，并应符合现行国家标准GB 50205相关规定。</w:t>
      </w:r>
    </w:p>
    <w:p>
      <w:pPr>
        <w:ind w:firstLine="0" w:firstLineChars="0"/>
      </w:pPr>
      <w:r>
        <w:rPr>
          <w:rFonts w:hint="eastAsia"/>
        </w:rPr>
        <w:t>检查数量：按同类构件数抽查10%，且不应少于3个。</w:t>
      </w:r>
    </w:p>
    <w:p>
      <w:pPr>
        <w:ind w:firstLine="0" w:firstLineChars="0"/>
      </w:pPr>
      <w:r>
        <w:rPr>
          <w:rFonts w:hint="eastAsia"/>
        </w:rPr>
        <w:t>检验方法：用吊线、拉线、经纬仪和钢尺现场实测。</w:t>
      </w:r>
    </w:p>
    <w:p>
      <w:pPr>
        <w:spacing w:line="400" w:lineRule="exact"/>
        <w:ind w:firstLine="0" w:firstLineChars="0"/>
        <w:jc w:val="center"/>
        <w:rPr>
          <w:rFonts w:ascii="黑体" w:hAnsi="黑体" w:eastAsia="黑体"/>
        </w:rPr>
      </w:pPr>
      <w:r>
        <w:rPr>
          <w:rFonts w:hint="eastAsia" w:ascii="黑体" w:hAnsi="黑体" w:eastAsia="黑体"/>
          <w:bCs/>
        </w:rPr>
        <w:t>表</w:t>
      </w:r>
      <w:r>
        <w:rPr>
          <w:rFonts w:ascii="黑体" w:hAnsi="黑体" w:eastAsia="黑体"/>
          <w:bCs/>
        </w:rPr>
        <w:t>8</w:t>
      </w:r>
      <w:r>
        <w:rPr>
          <w:rFonts w:hint="eastAsia" w:ascii="黑体" w:hAnsi="黑体" w:eastAsia="黑体" w:cs="黑体"/>
        </w:rPr>
        <w:t>　</w:t>
      </w:r>
      <w:r>
        <w:rPr>
          <w:rFonts w:hint="eastAsia" w:ascii="黑体" w:hAnsi="黑体" w:eastAsia="黑体"/>
        </w:rPr>
        <w:t>钢主梁、次梁的垂直度和侧向弯曲矢高的允许偏差（mm）</w:t>
      </w:r>
    </w:p>
    <w:tbl>
      <w:tblPr>
        <w:tblStyle w:val="34"/>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12"/>
        <w:gridCol w:w="1577"/>
        <w:gridCol w:w="3189"/>
        <w:gridCol w:w="31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1666" w:type="pct"/>
            <w:gridSpan w:val="2"/>
            <w:vAlign w:val="center"/>
          </w:tcPr>
          <w:p>
            <w:pPr>
              <w:ind w:firstLine="0" w:firstLineChars="0"/>
              <w:jc w:val="center"/>
              <w:rPr>
                <w:rFonts w:cs="Times New Roman"/>
                <w:kern w:val="0"/>
                <w:sz w:val="18"/>
                <w:szCs w:val="18"/>
              </w:rPr>
            </w:pPr>
            <w:r>
              <w:rPr>
                <w:rFonts w:cs="Times New Roman"/>
                <w:kern w:val="0"/>
                <w:sz w:val="18"/>
                <w:szCs w:val="18"/>
              </w:rPr>
              <w:t>项目</w:t>
            </w:r>
          </w:p>
        </w:tc>
        <w:tc>
          <w:tcPr>
            <w:tcW w:w="1666" w:type="pct"/>
            <w:vAlign w:val="center"/>
          </w:tcPr>
          <w:p>
            <w:pPr>
              <w:ind w:firstLine="0" w:firstLineChars="0"/>
              <w:jc w:val="center"/>
              <w:rPr>
                <w:rFonts w:cs="Times New Roman"/>
                <w:kern w:val="0"/>
                <w:sz w:val="18"/>
                <w:szCs w:val="18"/>
              </w:rPr>
            </w:pPr>
            <w:r>
              <w:rPr>
                <w:rFonts w:cs="Times New Roman"/>
                <w:kern w:val="0"/>
                <w:sz w:val="18"/>
                <w:szCs w:val="18"/>
              </w:rPr>
              <w:t>允许偏差（mm）</w:t>
            </w:r>
          </w:p>
        </w:tc>
        <w:tc>
          <w:tcPr>
            <w:tcW w:w="1666" w:type="pct"/>
            <w:vAlign w:val="center"/>
          </w:tcPr>
          <w:p>
            <w:pPr>
              <w:ind w:firstLine="0" w:firstLineChars="0"/>
              <w:jc w:val="center"/>
              <w:rPr>
                <w:rFonts w:cs="Times New Roman"/>
                <w:kern w:val="0"/>
                <w:sz w:val="18"/>
                <w:szCs w:val="18"/>
              </w:rPr>
            </w:pPr>
            <w:r>
              <w:rPr>
                <w:rFonts w:cs="Times New Roman"/>
                <w:kern w:val="0"/>
                <w:sz w:val="18"/>
                <w:szCs w:val="18"/>
              </w:rPr>
              <w:t>检验方法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1666" w:type="pct"/>
            <w:gridSpan w:val="2"/>
            <w:vAlign w:val="center"/>
          </w:tcPr>
          <w:p>
            <w:pPr>
              <w:ind w:firstLine="0" w:firstLineChars="0"/>
              <w:jc w:val="center"/>
              <w:rPr>
                <w:rFonts w:cs="Times New Roman"/>
                <w:kern w:val="0"/>
                <w:sz w:val="18"/>
                <w:szCs w:val="18"/>
              </w:rPr>
            </w:pPr>
            <w:r>
              <w:rPr>
                <w:rFonts w:cs="Times New Roman"/>
                <w:kern w:val="0"/>
                <w:sz w:val="18"/>
                <w:szCs w:val="18"/>
              </w:rPr>
              <w:t>跨中的垂直度</w:t>
            </w:r>
          </w:p>
        </w:tc>
        <w:tc>
          <w:tcPr>
            <w:tcW w:w="1666" w:type="pct"/>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/250</w:t>
            </w:r>
          </w:p>
          <w:p>
            <w:pPr>
              <w:ind w:firstLine="0" w:firstLineChars="0"/>
              <w:jc w:val="center"/>
              <w:rPr>
                <w:rFonts w:cs="Times New Roman"/>
                <w:kern w:val="0"/>
                <w:sz w:val="18"/>
                <w:szCs w:val="18"/>
              </w:rPr>
            </w:pPr>
            <w:r>
              <w:rPr>
                <w:rFonts w:cs="Times New Roman"/>
                <w:kern w:val="0"/>
                <w:sz w:val="18"/>
                <w:szCs w:val="18"/>
              </w:rPr>
              <w:t>且不大于15.0</w:t>
            </w:r>
          </w:p>
        </w:tc>
        <w:tc>
          <w:tcPr>
            <w:tcW w:w="1666" w:type="pct"/>
            <w:vAlign w:val="center"/>
          </w:tcPr>
          <w:p>
            <w:pPr>
              <w:ind w:firstLine="0" w:firstLineChars="0"/>
              <w:jc w:val="center"/>
              <w:rPr>
                <w:rFonts w:cs="Times New Roman"/>
                <w:kern w:val="0"/>
                <w:sz w:val="18"/>
                <w:szCs w:val="18"/>
              </w:rPr>
            </w:pPr>
            <w:r>
              <w:rPr>
                <w:rFonts w:cs="Times New Roman"/>
                <w:kern w:val="0"/>
                <w:sz w:val="18"/>
                <w:szCs w:val="18"/>
              </w:rPr>
              <w:t>用吊线、经纬仪和钢尺检查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842" w:type="pct"/>
            <w:vMerge w:val="restart"/>
            <w:vAlign w:val="center"/>
          </w:tcPr>
          <w:p>
            <w:pPr>
              <w:ind w:firstLine="0" w:firstLineChars="0"/>
              <w:jc w:val="center"/>
              <w:rPr>
                <w:rFonts w:cs="Times New Roman"/>
                <w:kern w:val="0"/>
                <w:sz w:val="18"/>
                <w:szCs w:val="18"/>
              </w:rPr>
            </w:pPr>
            <w:r>
              <w:rPr>
                <w:rFonts w:cs="Times New Roman"/>
                <w:kern w:val="0"/>
                <w:sz w:val="18"/>
                <w:szCs w:val="18"/>
              </w:rPr>
              <w:t>侧向弯曲矢高</w:t>
            </w:r>
            <w:r>
              <w:rPr>
                <w:rFonts w:cs="Times New Roman"/>
                <w:i/>
                <w:iCs/>
                <w:kern w:val="0"/>
                <w:sz w:val="18"/>
                <w:szCs w:val="18"/>
              </w:rPr>
              <w:t>f</w:t>
            </w:r>
          </w:p>
        </w:tc>
        <w:tc>
          <w:tcPr>
            <w:tcW w:w="823" w:type="pct"/>
            <w:vAlign w:val="center"/>
          </w:tcPr>
          <w:p>
            <w:pPr>
              <w:ind w:firstLine="0" w:firstLineChars="0"/>
              <w:jc w:val="center"/>
              <w:rPr>
                <w:rFonts w:cs="Times New Roman"/>
                <w:kern w:val="0"/>
                <w:sz w:val="18"/>
                <w:szCs w:val="18"/>
              </w:rPr>
            </w:pPr>
            <w:r>
              <w:rPr>
                <w:rFonts w:cs="Times New Roman"/>
                <w:i/>
                <w:iCs/>
                <w:kern w:val="0"/>
                <w:sz w:val="18"/>
                <w:szCs w:val="18"/>
              </w:rPr>
              <w:t>l</w:t>
            </w:r>
            <w:r>
              <w:rPr>
                <w:rFonts w:cs="Times New Roman"/>
                <w:kern w:val="0"/>
                <w:sz w:val="18"/>
                <w:szCs w:val="18"/>
              </w:rPr>
              <w:t>≤30m</w:t>
            </w:r>
          </w:p>
        </w:tc>
        <w:tc>
          <w:tcPr>
            <w:tcW w:w="1666" w:type="pct"/>
            <w:vAlign w:val="center"/>
          </w:tcPr>
          <w:p>
            <w:pPr>
              <w:ind w:firstLine="0" w:firstLineChars="0"/>
              <w:jc w:val="center"/>
              <w:rPr>
                <w:rFonts w:cs="Times New Roman"/>
                <w:kern w:val="0"/>
                <w:sz w:val="18"/>
                <w:szCs w:val="18"/>
              </w:rPr>
            </w:pPr>
            <w:r>
              <w:rPr>
                <w:rFonts w:cs="Times New Roman"/>
                <w:i/>
                <w:iCs/>
                <w:kern w:val="0"/>
                <w:sz w:val="18"/>
                <w:szCs w:val="18"/>
              </w:rPr>
              <w:t>l</w:t>
            </w:r>
            <w:r>
              <w:rPr>
                <w:rFonts w:cs="Times New Roman"/>
                <w:kern w:val="0"/>
                <w:sz w:val="18"/>
                <w:szCs w:val="18"/>
              </w:rPr>
              <w:t>/1000，且不大于10.0</w:t>
            </w:r>
          </w:p>
        </w:tc>
        <w:tc>
          <w:tcPr>
            <w:tcW w:w="1666" w:type="pct"/>
            <w:vMerge w:val="restart"/>
            <w:vAlign w:val="center"/>
          </w:tcPr>
          <w:p>
            <w:pPr>
              <w:ind w:firstLine="0" w:firstLineChars="0"/>
              <w:jc w:val="center"/>
              <w:rPr>
                <w:rFonts w:cs="Times New Roman"/>
                <w:kern w:val="0"/>
                <w:sz w:val="18"/>
                <w:szCs w:val="18"/>
              </w:rPr>
            </w:pPr>
            <w:r>
              <w:rPr>
                <w:rFonts w:cs="Times New Roman"/>
                <w:kern w:val="0"/>
                <w:sz w:val="18"/>
                <w:szCs w:val="18"/>
              </w:rPr>
              <w:t>用拉线、经纬仪和钢尺检查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842" w:type="pct"/>
            <w:vMerge w:val="continue"/>
            <w:vAlign w:val="center"/>
          </w:tcPr>
          <w:p>
            <w:pPr>
              <w:ind w:firstLine="0" w:firstLineChars="0"/>
              <w:jc w:val="center"/>
              <w:rPr>
                <w:rFonts w:cs="Times New Roman"/>
                <w:kern w:val="0"/>
                <w:sz w:val="18"/>
                <w:szCs w:val="18"/>
              </w:rPr>
            </w:pPr>
          </w:p>
        </w:tc>
        <w:tc>
          <w:tcPr>
            <w:tcW w:w="823" w:type="pct"/>
            <w:vAlign w:val="center"/>
          </w:tcPr>
          <w:p>
            <w:pPr>
              <w:ind w:firstLine="0" w:firstLineChars="0"/>
              <w:jc w:val="center"/>
              <w:rPr>
                <w:rFonts w:cs="Times New Roman"/>
                <w:kern w:val="0"/>
                <w:sz w:val="18"/>
                <w:szCs w:val="18"/>
              </w:rPr>
            </w:pPr>
            <w:r>
              <w:rPr>
                <w:rFonts w:cs="Times New Roman"/>
                <w:kern w:val="0"/>
                <w:sz w:val="18"/>
                <w:szCs w:val="18"/>
              </w:rPr>
              <w:t>30m＜</w:t>
            </w:r>
            <w:r>
              <w:rPr>
                <w:rFonts w:cs="Times New Roman"/>
                <w:i/>
                <w:iCs/>
                <w:kern w:val="0"/>
                <w:sz w:val="18"/>
                <w:szCs w:val="18"/>
              </w:rPr>
              <w:t>l</w:t>
            </w:r>
            <w:r>
              <w:rPr>
                <w:rFonts w:cs="Times New Roman"/>
                <w:kern w:val="0"/>
                <w:sz w:val="18"/>
                <w:szCs w:val="18"/>
              </w:rPr>
              <w:t>≤60m</w:t>
            </w:r>
          </w:p>
        </w:tc>
        <w:tc>
          <w:tcPr>
            <w:tcW w:w="1666" w:type="pct"/>
            <w:vAlign w:val="center"/>
          </w:tcPr>
          <w:p>
            <w:pPr>
              <w:ind w:firstLine="0" w:firstLineChars="0"/>
              <w:jc w:val="center"/>
              <w:rPr>
                <w:rFonts w:cs="Times New Roman"/>
                <w:kern w:val="0"/>
                <w:sz w:val="18"/>
                <w:szCs w:val="18"/>
              </w:rPr>
            </w:pPr>
            <w:r>
              <w:rPr>
                <w:rFonts w:cs="Times New Roman"/>
                <w:i/>
                <w:iCs/>
                <w:kern w:val="0"/>
                <w:sz w:val="18"/>
                <w:szCs w:val="18"/>
              </w:rPr>
              <w:t>l</w:t>
            </w:r>
            <w:r>
              <w:rPr>
                <w:rFonts w:cs="Times New Roman"/>
                <w:kern w:val="0"/>
                <w:sz w:val="18"/>
                <w:szCs w:val="18"/>
              </w:rPr>
              <w:t>/1000，且不大于30.0</w:t>
            </w:r>
          </w:p>
        </w:tc>
        <w:tc>
          <w:tcPr>
            <w:tcW w:w="1666" w:type="pct"/>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842" w:type="pct"/>
            <w:vMerge w:val="continue"/>
            <w:vAlign w:val="center"/>
          </w:tcPr>
          <w:p>
            <w:pPr>
              <w:ind w:firstLine="0" w:firstLineChars="0"/>
              <w:jc w:val="center"/>
              <w:rPr>
                <w:rFonts w:cs="Times New Roman"/>
                <w:kern w:val="0"/>
                <w:sz w:val="18"/>
                <w:szCs w:val="18"/>
              </w:rPr>
            </w:pPr>
          </w:p>
        </w:tc>
        <w:tc>
          <w:tcPr>
            <w:tcW w:w="823" w:type="pct"/>
            <w:vAlign w:val="center"/>
          </w:tcPr>
          <w:p>
            <w:pPr>
              <w:ind w:firstLine="0" w:firstLineChars="0"/>
              <w:jc w:val="center"/>
              <w:rPr>
                <w:rFonts w:cs="Times New Roman"/>
                <w:kern w:val="0"/>
                <w:sz w:val="18"/>
                <w:szCs w:val="18"/>
              </w:rPr>
            </w:pPr>
            <w:r>
              <w:rPr>
                <w:rFonts w:cs="Times New Roman"/>
                <w:i/>
                <w:iCs/>
                <w:kern w:val="0"/>
                <w:sz w:val="18"/>
                <w:szCs w:val="18"/>
              </w:rPr>
              <w:t>l</w:t>
            </w:r>
            <w:r>
              <w:rPr>
                <w:rFonts w:cs="Times New Roman"/>
                <w:kern w:val="0"/>
                <w:sz w:val="18"/>
                <w:szCs w:val="18"/>
              </w:rPr>
              <w:t>≥60m</w:t>
            </w:r>
          </w:p>
        </w:tc>
        <w:tc>
          <w:tcPr>
            <w:tcW w:w="1666" w:type="pct"/>
            <w:vAlign w:val="center"/>
          </w:tcPr>
          <w:p>
            <w:pPr>
              <w:ind w:firstLine="0" w:firstLineChars="0"/>
              <w:jc w:val="center"/>
              <w:rPr>
                <w:rFonts w:cs="Times New Roman"/>
                <w:kern w:val="0"/>
                <w:sz w:val="18"/>
                <w:szCs w:val="18"/>
              </w:rPr>
            </w:pPr>
            <w:r>
              <w:rPr>
                <w:rFonts w:cs="Times New Roman"/>
                <w:i/>
                <w:iCs/>
                <w:kern w:val="0"/>
                <w:sz w:val="18"/>
                <w:szCs w:val="18"/>
              </w:rPr>
              <w:t>l</w:t>
            </w:r>
            <w:r>
              <w:rPr>
                <w:rFonts w:cs="Times New Roman"/>
                <w:kern w:val="0"/>
                <w:sz w:val="18"/>
                <w:szCs w:val="18"/>
              </w:rPr>
              <w:t>/1000，且不大于50.0</w:t>
            </w:r>
          </w:p>
        </w:tc>
        <w:tc>
          <w:tcPr>
            <w:tcW w:w="1666" w:type="pct"/>
            <w:vMerge w:val="continue"/>
            <w:vAlign w:val="center"/>
          </w:tcPr>
          <w:p>
            <w:pPr>
              <w:ind w:firstLine="0" w:firstLineChars="0"/>
              <w:jc w:val="center"/>
              <w:rPr>
                <w:rFonts w:cs="Times New Roman"/>
                <w:kern w:val="0"/>
                <w:sz w:val="18"/>
                <w:szCs w:val="18"/>
              </w:rPr>
            </w:pPr>
          </w:p>
        </w:tc>
      </w:tr>
    </w:tbl>
    <w:p>
      <w:pPr>
        <w:pStyle w:val="4"/>
        <w:ind w:right="210"/>
      </w:pPr>
      <w:r>
        <w:rPr>
          <w:rFonts w:hint="eastAsia"/>
        </w:rPr>
        <w:t>施工单位对其首次采用的钢材、焊接材料、焊接方法、焊后热处理等，应进行焊接工艺评定，并根据评定报告确定焊接工艺。</w:t>
      </w:r>
    </w:p>
    <w:p>
      <w:pPr>
        <w:ind w:firstLine="0" w:firstLineChars="0"/>
      </w:pPr>
      <w:r>
        <w:rPr>
          <w:rFonts w:hint="eastAsia"/>
        </w:rPr>
        <w:t>检查数量：全数检查。</w:t>
      </w:r>
    </w:p>
    <w:p>
      <w:pPr>
        <w:ind w:firstLine="0" w:firstLineChars="0"/>
      </w:pPr>
      <w:r>
        <w:rPr>
          <w:rFonts w:hint="eastAsia"/>
        </w:rPr>
        <w:t>检验方法：检查焊接工艺评定报告。</w:t>
      </w:r>
    </w:p>
    <w:p>
      <w:pPr>
        <w:pStyle w:val="4"/>
        <w:ind w:right="210"/>
      </w:pPr>
      <w:r>
        <w:rPr>
          <w:rFonts w:hint="eastAsia"/>
        </w:rPr>
        <w:t>钢构件现场焊接的焊接材料和焊接质量应满足现行国家标准GB 50205和GB 50661相关规定。设计要求钢管构件全焊透的一、二级焊缝缺陷检验应满足现行国家标准GB 50628相关规定。</w:t>
      </w:r>
    </w:p>
    <w:p>
      <w:pPr>
        <w:ind w:firstLine="0" w:firstLineChars="0"/>
      </w:pPr>
      <w:r>
        <w:rPr>
          <w:rFonts w:hint="eastAsia"/>
        </w:rPr>
        <w:t>检查数量：全数检查。</w:t>
      </w:r>
    </w:p>
    <w:p>
      <w:pPr>
        <w:ind w:firstLine="0" w:firstLineChars="0"/>
      </w:pPr>
      <w:r>
        <w:rPr>
          <w:rFonts w:hint="eastAsia"/>
        </w:rPr>
        <w:t>检验方法：检查施工记录及焊缝检测报告。</w:t>
      </w:r>
    </w:p>
    <w:p>
      <w:pPr>
        <w:pStyle w:val="4"/>
        <w:ind w:right="210"/>
      </w:pPr>
      <w:r>
        <w:rPr>
          <w:rFonts w:hint="eastAsia"/>
        </w:rPr>
        <w:t>钢管内混凝土施工缝的设置应符合设计要求，但设计无要求时，应在专项方案中明确规定，且钢管柱对接焊口的位置应高出混凝土浇筑施工缝面500mm以上，以防钢管焊接时高温影响混凝土质量。施工缝处理应按专项方案进行。</w:t>
      </w:r>
    </w:p>
    <w:p>
      <w:pPr>
        <w:ind w:firstLine="0" w:firstLineChars="0"/>
      </w:pPr>
      <w:r>
        <w:rPr>
          <w:rFonts w:hint="eastAsia"/>
        </w:rPr>
        <w:t>检查数量：全数检查。</w:t>
      </w:r>
    </w:p>
    <w:p>
      <w:pPr>
        <w:ind w:firstLine="0" w:firstLineChars="0"/>
      </w:pPr>
      <w:r>
        <w:rPr>
          <w:rFonts w:hint="eastAsia"/>
        </w:rPr>
        <w:t>检验方法：观察检查，检查施工记录。</w:t>
      </w:r>
    </w:p>
    <w:p>
      <w:pPr>
        <w:pStyle w:val="4"/>
        <w:ind w:right="210"/>
      </w:pPr>
      <w:r>
        <w:rPr>
          <w:rFonts w:hint="eastAsia"/>
        </w:rPr>
        <w:t>钢管混凝土柱钢管内混凝土应浇筑密实。</w:t>
      </w:r>
    </w:p>
    <w:p>
      <w:pPr>
        <w:ind w:firstLine="0" w:firstLineChars="0"/>
      </w:pPr>
      <w:r>
        <w:rPr>
          <w:rFonts w:hint="eastAsia"/>
        </w:rPr>
        <w:t>检查数量：全数检查。</w:t>
      </w:r>
    </w:p>
    <w:p>
      <w:pPr>
        <w:ind w:firstLine="0" w:firstLineChars="0"/>
      </w:pPr>
      <w:r>
        <w:rPr>
          <w:rFonts w:hint="eastAsia"/>
        </w:rPr>
        <w:t>检验方法：检查钢管内混凝土浇筑工艺试验报告和混凝土浇筑施工记录。</w:t>
      </w:r>
    </w:p>
    <w:p>
      <w:pPr>
        <w:pStyle w:val="4"/>
        <w:ind w:right="210"/>
      </w:pPr>
      <w:r>
        <w:rPr>
          <w:rFonts w:hint="eastAsia"/>
        </w:rPr>
        <w:t>钢管混凝土构件垂直度允许偏差应符合表</w:t>
      </w:r>
      <w:r>
        <w:t>9</w:t>
      </w:r>
      <w:r>
        <w:rPr>
          <w:rFonts w:hint="eastAsia"/>
        </w:rPr>
        <w:t>的规定。</w:t>
      </w:r>
    </w:p>
    <w:p>
      <w:pPr>
        <w:ind w:firstLine="0" w:firstLineChars="0"/>
      </w:pPr>
      <w:r>
        <w:rPr>
          <w:rFonts w:hint="eastAsia"/>
        </w:rPr>
        <w:t>检查数量：同批构件抽查10%，且不少于3件。</w:t>
      </w:r>
    </w:p>
    <w:p>
      <w:pPr>
        <w:ind w:firstLine="0" w:firstLineChars="0"/>
      </w:pPr>
      <w:r>
        <w:rPr>
          <w:rFonts w:hint="eastAsia"/>
        </w:rPr>
        <w:t>检验方法：经纬仪、全站仪检查。</w:t>
      </w:r>
    </w:p>
    <w:p>
      <w:pPr>
        <w:ind w:firstLine="0" w:firstLineChars="0"/>
      </w:pPr>
    </w:p>
    <w:p>
      <w:pPr>
        <w:ind w:firstLine="0" w:firstLineChars="0"/>
      </w:pPr>
    </w:p>
    <w:p>
      <w:pPr>
        <w:spacing w:line="400" w:lineRule="exact"/>
        <w:ind w:firstLine="0" w:firstLineChars="0"/>
        <w:jc w:val="center"/>
        <w:rPr>
          <w:rFonts w:ascii="黑体" w:hAnsi="黑体" w:eastAsia="黑体"/>
        </w:rPr>
      </w:pPr>
      <w:r>
        <w:rPr>
          <w:rFonts w:hint="eastAsia" w:ascii="黑体" w:hAnsi="黑体" w:eastAsia="黑体"/>
          <w:bCs/>
        </w:rPr>
        <w:t>表</w:t>
      </w:r>
      <w:r>
        <w:rPr>
          <w:rFonts w:ascii="黑体" w:hAnsi="黑体" w:eastAsia="黑体"/>
          <w:bCs/>
        </w:rPr>
        <w:t>9</w:t>
      </w:r>
      <w:r>
        <w:rPr>
          <w:rFonts w:hint="eastAsia" w:ascii="黑体" w:hAnsi="黑体" w:eastAsia="黑体" w:cs="黑体"/>
        </w:rPr>
        <w:t>　</w:t>
      </w:r>
      <w:r>
        <w:rPr>
          <w:rFonts w:hint="eastAsia" w:ascii="黑体" w:hAnsi="黑体" w:eastAsia="黑体"/>
        </w:rPr>
        <w:t>钢管混凝土构件安装垂直度允许偏差</w:t>
      </w:r>
    </w:p>
    <w:tbl>
      <w:tblPr>
        <w:tblStyle w:val="3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16"/>
        <w:gridCol w:w="3276"/>
        <w:gridCol w:w="1647"/>
        <w:gridCol w:w="183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2"/>
            <w:vAlign w:val="center"/>
          </w:tcPr>
          <w:p>
            <w:pPr>
              <w:ind w:firstLine="0" w:firstLineChars="0"/>
              <w:jc w:val="center"/>
              <w:rPr>
                <w:rFonts w:cs="Times New Roman"/>
                <w:kern w:val="0"/>
                <w:sz w:val="18"/>
                <w:szCs w:val="18"/>
              </w:rPr>
            </w:pPr>
            <w:r>
              <w:rPr>
                <w:rFonts w:cs="Times New Roman"/>
                <w:kern w:val="0"/>
                <w:sz w:val="18"/>
                <w:szCs w:val="18"/>
              </w:rPr>
              <w:t>项目</w:t>
            </w:r>
          </w:p>
        </w:tc>
        <w:tc>
          <w:tcPr>
            <w:tcW w:w="0" w:type="auto"/>
            <w:vAlign w:val="center"/>
          </w:tcPr>
          <w:p>
            <w:pPr>
              <w:ind w:firstLine="0" w:firstLineChars="0"/>
              <w:jc w:val="center"/>
              <w:rPr>
                <w:rFonts w:cs="Times New Roman"/>
                <w:kern w:val="0"/>
                <w:sz w:val="18"/>
                <w:szCs w:val="18"/>
              </w:rPr>
            </w:pPr>
            <w:r>
              <w:rPr>
                <w:rFonts w:cs="Times New Roman"/>
                <w:kern w:val="0"/>
                <w:sz w:val="18"/>
                <w:szCs w:val="18"/>
              </w:rPr>
              <w:t>允许偏差（mm）</w:t>
            </w:r>
          </w:p>
        </w:tc>
        <w:tc>
          <w:tcPr>
            <w:tcW w:w="0" w:type="auto"/>
            <w:vAlign w:val="center"/>
          </w:tcPr>
          <w:p>
            <w:pPr>
              <w:ind w:firstLine="0" w:firstLineChars="0"/>
              <w:jc w:val="center"/>
              <w:rPr>
                <w:rFonts w:cs="Times New Roman"/>
                <w:kern w:val="0"/>
                <w:sz w:val="18"/>
                <w:szCs w:val="18"/>
              </w:rPr>
            </w:pPr>
            <w:r>
              <w:rPr>
                <w:rFonts w:cs="Times New Roman"/>
                <w:kern w:val="0"/>
                <w:sz w:val="18"/>
                <w:szCs w:val="18"/>
              </w:rPr>
              <w:t>检验方法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vAlign w:val="center"/>
          </w:tcPr>
          <w:p>
            <w:pPr>
              <w:ind w:firstLine="0" w:firstLineChars="0"/>
              <w:jc w:val="center"/>
              <w:rPr>
                <w:rFonts w:ascii="宋体" w:hAnsi="宋体" w:cs="Times New Roman"/>
                <w:kern w:val="0"/>
                <w:sz w:val="18"/>
                <w:szCs w:val="18"/>
              </w:rPr>
            </w:pPr>
            <w:r>
              <w:rPr>
                <w:rFonts w:hint="eastAsia" w:ascii="宋体" w:hAnsi="宋体" w:cs="Times New Roman"/>
                <w:kern w:val="0"/>
                <w:sz w:val="18"/>
                <w:szCs w:val="18"/>
              </w:rPr>
              <w:t>单层</w:t>
            </w:r>
          </w:p>
        </w:tc>
        <w:tc>
          <w:tcPr>
            <w:tcW w:w="0" w:type="auto"/>
            <w:vAlign w:val="center"/>
          </w:tcPr>
          <w:p>
            <w:pPr>
              <w:ind w:firstLine="0" w:firstLineChars="0"/>
              <w:jc w:val="center"/>
              <w:rPr>
                <w:rFonts w:cs="Times New Roman"/>
                <w:kern w:val="0"/>
                <w:sz w:val="18"/>
                <w:szCs w:val="18"/>
              </w:rPr>
            </w:pPr>
            <w:r>
              <w:rPr>
                <w:rFonts w:cs="Times New Roman"/>
                <w:kern w:val="0"/>
                <w:sz w:val="18"/>
                <w:szCs w:val="18"/>
              </w:rPr>
              <w:t>单层钢管混凝土构件的垂直度</w:t>
            </w:r>
          </w:p>
        </w:tc>
        <w:tc>
          <w:tcPr>
            <w:tcW w:w="0" w:type="auto"/>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/1000，</w:t>
            </w:r>
          </w:p>
          <w:p>
            <w:pPr>
              <w:ind w:firstLine="0" w:firstLineChars="0"/>
              <w:jc w:val="center"/>
              <w:rPr>
                <w:rFonts w:cs="Times New Roman"/>
                <w:kern w:val="0"/>
                <w:sz w:val="18"/>
                <w:szCs w:val="18"/>
              </w:rPr>
            </w:pPr>
            <w:r>
              <w:rPr>
                <w:rFonts w:cs="Times New Roman"/>
                <w:kern w:val="0"/>
                <w:sz w:val="18"/>
                <w:szCs w:val="18"/>
              </w:rPr>
              <w:t>且不应大于10.0</w:t>
            </w:r>
          </w:p>
        </w:tc>
        <w:tc>
          <w:tcPr>
            <w:tcW w:w="0" w:type="auto"/>
            <w:vMerge w:val="restart"/>
            <w:vAlign w:val="center"/>
          </w:tcPr>
          <w:p>
            <w:pPr>
              <w:ind w:firstLine="0" w:firstLineChars="0"/>
              <w:jc w:val="center"/>
              <w:rPr>
                <w:rFonts w:cs="Times New Roman"/>
                <w:kern w:val="0"/>
                <w:sz w:val="18"/>
                <w:szCs w:val="18"/>
              </w:rPr>
            </w:pPr>
            <w:r>
              <w:rPr>
                <w:rFonts w:cs="Times New Roman"/>
                <w:kern w:val="0"/>
                <w:sz w:val="18"/>
                <w:szCs w:val="18"/>
              </w:rPr>
              <w:t>经纬仪、全站仪检查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vAlign w:val="center"/>
          </w:tcPr>
          <w:p>
            <w:pPr>
              <w:ind w:firstLine="0" w:firstLineChars="0"/>
              <w:jc w:val="center"/>
              <w:rPr>
                <w:rFonts w:ascii="宋体" w:hAnsi="宋体" w:cs="Times New Roman"/>
                <w:kern w:val="0"/>
                <w:sz w:val="18"/>
                <w:szCs w:val="18"/>
              </w:rPr>
            </w:pPr>
            <w:r>
              <w:rPr>
                <w:rFonts w:hint="eastAsia" w:ascii="宋体" w:hAnsi="宋体" w:cs="Times New Roman"/>
                <w:kern w:val="0"/>
                <w:sz w:val="18"/>
                <w:szCs w:val="18"/>
              </w:rPr>
              <w:t>多层及高层</w:t>
            </w:r>
          </w:p>
        </w:tc>
        <w:tc>
          <w:tcPr>
            <w:tcW w:w="0" w:type="auto"/>
            <w:vAlign w:val="center"/>
          </w:tcPr>
          <w:p>
            <w:pPr>
              <w:ind w:firstLine="0" w:firstLineChars="0"/>
              <w:jc w:val="center"/>
              <w:rPr>
                <w:rFonts w:cs="Times New Roman"/>
                <w:kern w:val="0"/>
                <w:sz w:val="18"/>
                <w:szCs w:val="18"/>
              </w:rPr>
            </w:pPr>
            <w:r>
              <w:rPr>
                <w:rFonts w:cs="Times New Roman"/>
                <w:kern w:val="0"/>
                <w:sz w:val="18"/>
                <w:szCs w:val="18"/>
              </w:rPr>
              <w:t>主体结构钢管混凝土构件的整体垂直度</w:t>
            </w:r>
          </w:p>
        </w:tc>
        <w:tc>
          <w:tcPr>
            <w:tcW w:w="0" w:type="auto"/>
            <w:vAlign w:val="center"/>
          </w:tcPr>
          <w:p>
            <w:pPr>
              <w:ind w:firstLine="0" w:firstLineChars="0"/>
              <w:jc w:val="center"/>
              <w:rPr>
                <w:rFonts w:cs="Times New Roman"/>
                <w:kern w:val="0"/>
                <w:sz w:val="18"/>
                <w:szCs w:val="18"/>
              </w:rPr>
            </w:pPr>
            <w:r>
              <w:rPr>
                <w:rFonts w:cs="Times New Roman"/>
                <w:i/>
                <w:iCs/>
                <w:kern w:val="0"/>
                <w:sz w:val="18"/>
                <w:szCs w:val="18"/>
              </w:rPr>
              <w:t>H</w:t>
            </w:r>
            <w:r>
              <w:rPr>
                <w:rFonts w:cs="Times New Roman"/>
                <w:kern w:val="0"/>
                <w:sz w:val="18"/>
                <w:szCs w:val="18"/>
              </w:rPr>
              <w:t>/2500，</w:t>
            </w:r>
          </w:p>
          <w:p>
            <w:pPr>
              <w:ind w:firstLine="0" w:firstLineChars="0"/>
              <w:jc w:val="center"/>
              <w:rPr>
                <w:rFonts w:cs="Times New Roman"/>
                <w:kern w:val="0"/>
                <w:sz w:val="18"/>
                <w:szCs w:val="18"/>
              </w:rPr>
            </w:pPr>
            <w:r>
              <w:rPr>
                <w:rFonts w:cs="Times New Roman"/>
                <w:kern w:val="0"/>
                <w:sz w:val="18"/>
                <w:szCs w:val="18"/>
              </w:rPr>
              <w:t>且不应大于30.0</w:t>
            </w:r>
          </w:p>
        </w:tc>
        <w:tc>
          <w:tcPr>
            <w:tcW w:w="0" w:type="auto"/>
            <w:vMerge w:val="continue"/>
            <w:vAlign w:val="center"/>
          </w:tcPr>
          <w:p>
            <w:pPr>
              <w:ind w:firstLine="0" w:firstLineChars="0"/>
              <w:jc w:val="center"/>
              <w:rPr>
                <w:rFonts w:cs="Times New Roman"/>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4"/>
            <w:vAlign w:val="center"/>
          </w:tcPr>
          <w:p>
            <w:pPr>
              <w:spacing w:line="240" w:lineRule="auto"/>
              <w:ind w:firstLine="0" w:firstLineChars="0"/>
              <w:jc w:val="left"/>
              <w:rPr>
                <w:rFonts w:cs="Times New Roman"/>
                <w:kern w:val="0"/>
                <w:sz w:val="18"/>
                <w:szCs w:val="18"/>
              </w:rPr>
            </w:pPr>
            <w:r>
              <w:rPr>
                <w:rFonts w:cs="Times New Roman"/>
                <w:sz w:val="18"/>
                <w:szCs w:val="18"/>
              </w:rPr>
              <w:t>注：1</w:t>
            </w:r>
            <w:r>
              <w:rPr>
                <w:rFonts w:cs="Times New Roman"/>
                <w:color w:val="000000"/>
                <w:sz w:val="18"/>
                <w:szCs w:val="18"/>
              </w:rPr>
              <w:t>、</w:t>
            </w:r>
            <w:r>
              <w:rPr>
                <w:rFonts w:cs="Times New Roman"/>
                <w:i/>
                <w:iCs/>
                <w:sz w:val="18"/>
                <w:szCs w:val="18"/>
              </w:rPr>
              <w:t>h</w:t>
            </w:r>
            <w:r>
              <w:rPr>
                <w:rFonts w:cs="Times New Roman"/>
                <w:sz w:val="18"/>
                <w:szCs w:val="18"/>
              </w:rPr>
              <w:t>为单层钢管混凝土构件的高度，</w:t>
            </w:r>
            <w:r>
              <w:rPr>
                <w:rFonts w:cs="Times New Roman"/>
                <w:i/>
                <w:iCs/>
                <w:sz w:val="18"/>
                <w:szCs w:val="18"/>
              </w:rPr>
              <w:t>H</w:t>
            </w:r>
            <w:r>
              <w:rPr>
                <w:rFonts w:cs="Times New Roman"/>
                <w:sz w:val="18"/>
                <w:szCs w:val="18"/>
              </w:rPr>
              <w:t>为多层及高层钢管混凝土构件的全高。</w:t>
            </w:r>
          </w:p>
        </w:tc>
      </w:tr>
    </w:tbl>
    <w:p>
      <w:pPr>
        <w:pStyle w:val="4"/>
        <w:spacing w:before="120" w:beforeLines="50"/>
        <w:ind w:right="210"/>
      </w:pPr>
      <w:r>
        <w:rPr>
          <w:rFonts w:hint="eastAsia"/>
        </w:rPr>
        <w:t>钢管混凝土柱与钢筋混凝土梁连接节点核心区构造及钢筋规格、位置、数量应满足设计要求。</w:t>
      </w:r>
    </w:p>
    <w:p>
      <w:pPr>
        <w:ind w:firstLine="0" w:firstLineChars="0"/>
      </w:pPr>
      <w:r>
        <w:rPr>
          <w:rFonts w:hint="eastAsia"/>
        </w:rPr>
        <w:t>检查数量：全数检查。</w:t>
      </w:r>
    </w:p>
    <w:p>
      <w:pPr>
        <w:ind w:firstLine="0" w:firstLineChars="0"/>
      </w:pPr>
      <w:r>
        <w:rPr>
          <w:rFonts w:hint="eastAsia"/>
        </w:rPr>
        <w:t>检验方法：观察检查，检查施工记录和隐蔽工程验收记录。</w:t>
      </w:r>
    </w:p>
    <w:p>
      <w:pPr>
        <w:ind w:firstLine="0" w:firstLineChars="0"/>
        <w:jc w:val="center"/>
      </w:pPr>
      <w:r>
        <w:rPr>
          <w:rFonts w:hint="eastAsia"/>
        </w:rPr>
        <w:t xml:space="preserve"> </w:t>
      </w:r>
      <w:r>
        <w:rPr>
          <w:rFonts w:cs="Times New Roman"/>
        </w:rPr>
        <w:t>Ⅱ</w:t>
      </w:r>
      <w:r>
        <w:rPr>
          <w:rFonts w:hint="eastAsia"/>
        </w:rPr>
        <w:t xml:space="preserve"> 一般项目</w:t>
      </w:r>
    </w:p>
    <w:p>
      <w:pPr>
        <w:pStyle w:val="4"/>
        <w:ind w:right="210"/>
      </w:pPr>
      <w:r>
        <w:rPr>
          <w:rFonts w:hint="eastAsia"/>
        </w:rPr>
        <w:t>端承式钢管混凝土柱柱脚安装就位及锚固螺栓拧紧后，端板下应按设计要求及时进行灌浆。</w:t>
      </w:r>
    </w:p>
    <w:p>
      <w:pPr>
        <w:pStyle w:val="4"/>
        <w:numPr>
          <w:ilvl w:val="0"/>
          <w:numId w:val="0"/>
        </w:numPr>
        <w:ind w:right="210"/>
      </w:pPr>
      <w:r>
        <w:rPr>
          <w:rFonts w:hint="eastAsia"/>
        </w:rPr>
        <w:t>检查数量：全数检查。</w:t>
      </w:r>
    </w:p>
    <w:p>
      <w:pPr>
        <w:pStyle w:val="4"/>
        <w:numPr>
          <w:ilvl w:val="0"/>
          <w:numId w:val="0"/>
        </w:numPr>
        <w:ind w:right="210"/>
      </w:pPr>
      <w:r>
        <w:rPr>
          <w:rFonts w:hint="eastAsia"/>
        </w:rPr>
        <w:t>检验方法：观察检查、检查施工记录。</w:t>
      </w:r>
    </w:p>
    <w:p>
      <w:pPr>
        <w:pStyle w:val="4"/>
        <w:ind w:right="210"/>
      </w:pPr>
      <w:r>
        <w:rPr>
          <w:rFonts w:hint="eastAsia"/>
        </w:rPr>
        <w:t>钢管混凝土柱柱脚的安装允许偏差应符合现行国家标准GB 50628相关规定。</w:t>
      </w:r>
    </w:p>
    <w:p>
      <w:pPr>
        <w:pStyle w:val="4"/>
        <w:numPr>
          <w:ilvl w:val="0"/>
          <w:numId w:val="0"/>
        </w:numPr>
        <w:ind w:right="210"/>
      </w:pPr>
      <w:r>
        <w:rPr>
          <w:rFonts w:hint="eastAsia"/>
        </w:rPr>
        <w:t>检查数量：同批构件抽查10%，且不少于3处。</w:t>
      </w:r>
    </w:p>
    <w:p>
      <w:pPr>
        <w:ind w:firstLine="0" w:firstLineChars="0"/>
      </w:pPr>
      <w:r>
        <w:rPr>
          <w:rFonts w:hint="eastAsia"/>
        </w:rPr>
        <w:t>检验方法：尺量检查。</w:t>
      </w:r>
    </w:p>
    <w:p>
      <w:pPr>
        <w:pStyle w:val="4"/>
        <w:ind w:right="210"/>
      </w:pPr>
      <w:r>
        <w:rPr>
          <w:rFonts w:hint="eastAsia"/>
        </w:rPr>
        <w:t>钢梁、钢管构件的安装允许偏差应满足现行国家标准GB 50205和GB 50628的相关要求。</w:t>
      </w:r>
    </w:p>
    <w:p>
      <w:pPr>
        <w:ind w:firstLine="0" w:firstLineChars="0"/>
      </w:pPr>
      <w:r>
        <w:rPr>
          <w:rFonts w:hint="eastAsia"/>
        </w:rPr>
        <w:t>检查数量：按同类构件或者节点数抽查10%。其中钢管构件和钢梁构件不应少于3件，主梁与次梁连接节点不应少于3件。</w:t>
      </w:r>
    </w:p>
    <w:p>
      <w:pPr>
        <w:ind w:firstLine="0" w:firstLineChars="0"/>
      </w:pPr>
      <w:r>
        <w:rPr>
          <w:rFonts w:hint="eastAsia"/>
        </w:rPr>
        <w:t>检验方法：直尺和钢尺检查，水准仪检查。</w:t>
      </w:r>
    </w:p>
    <w:p>
      <w:pPr>
        <w:pStyle w:val="4"/>
        <w:ind w:right="210"/>
      </w:pPr>
      <w:r>
        <w:rPr>
          <w:rFonts w:hint="eastAsia"/>
        </w:rPr>
        <w:t>钢管混凝土构件现场拼装焊接二、三级焊缝外观质量应满足现行国家标准GB 50628相关规定。</w:t>
      </w:r>
    </w:p>
    <w:p>
      <w:pPr>
        <w:ind w:firstLine="0" w:firstLineChars="0"/>
      </w:pPr>
      <w:r>
        <w:rPr>
          <w:rFonts w:hint="eastAsia"/>
        </w:rPr>
        <w:t>检查数量：同批构件抽查10%，且不少于3件。</w:t>
      </w:r>
    </w:p>
    <w:p>
      <w:pPr>
        <w:ind w:firstLine="0" w:firstLineChars="0"/>
      </w:pPr>
      <w:r>
        <w:rPr>
          <w:rFonts w:hint="eastAsia"/>
        </w:rPr>
        <w:t>检验方法：观察检查，尺量检查</w:t>
      </w:r>
    </w:p>
    <w:p>
      <w:pPr>
        <w:pStyle w:val="4"/>
        <w:ind w:right="210"/>
      </w:pPr>
      <w:r>
        <w:rPr>
          <w:rFonts w:hint="eastAsia"/>
        </w:rPr>
        <w:t>钢管混凝土构件对接焊缝和角焊缝余高及错边允许偏差应满足现行国家标准GB 50628相关规定。</w:t>
      </w:r>
    </w:p>
    <w:p>
      <w:pPr>
        <w:ind w:firstLine="0" w:firstLineChars="0"/>
      </w:pPr>
      <w:r>
        <w:rPr>
          <w:rFonts w:hint="eastAsia"/>
        </w:rPr>
        <w:t>检查数量：同批构件抽查10%，且不少于3件。</w:t>
      </w:r>
    </w:p>
    <w:p>
      <w:pPr>
        <w:ind w:firstLine="0" w:firstLineChars="0"/>
      </w:pPr>
      <w:r>
        <w:rPr>
          <w:rFonts w:hint="eastAsia"/>
        </w:rPr>
        <w:t>检验方法：焊缝量规检查。</w:t>
      </w:r>
    </w:p>
    <w:p>
      <w:pPr>
        <w:pStyle w:val="4"/>
        <w:ind w:right="210"/>
      </w:pPr>
      <w:r>
        <w:rPr>
          <w:rFonts w:hint="eastAsia"/>
        </w:rPr>
        <w:t>钢管内混凝土浇筑方法及浇灌孔、顶升孔、排气孔的留置应符合专项施工方案要求。</w:t>
      </w:r>
    </w:p>
    <w:p>
      <w:pPr>
        <w:ind w:firstLine="0" w:firstLineChars="0"/>
      </w:pPr>
      <w:r>
        <w:rPr>
          <w:rFonts w:hint="eastAsia"/>
        </w:rPr>
        <w:t>检查数量：全数检查。</w:t>
      </w:r>
    </w:p>
    <w:p>
      <w:pPr>
        <w:ind w:firstLine="0" w:firstLineChars="0"/>
      </w:pPr>
      <w:r>
        <w:rPr>
          <w:rFonts w:hint="eastAsia"/>
        </w:rPr>
        <w:t>检验方法：观察检查，检查施工记录。</w:t>
      </w:r>
    </w:p>
    <w:p>
      <w:pPr>
        <w:pStyle w:val="4"/>
        <w:ind w:right="210"/>
      </w:pPr>
      <w:r>
        <w:rPr>
          <w:rFonts w:hint="eastAsia"/>
        </w:rPr>
        <w:t>钢管内混凝土浇筑前，应对钢管安装质量检查确认，并应清理钢管内壁污物；混凝土浇筑后应对管口进行临时封闭。</w:t>
      </w:r>
    </w:p>
    <w:p>
      <w:pPr>
        <w:ind w:firstLine="0" w:firstLineChars="0"/>
      </w:pPr>
      <w:r>
        <w:rPr>
          <w:rFonts w:hint="eastAsia"/>
        </w:rPr>
        <w:t>检查数量：全数检查。</w:t>
      </w:r>
    </w:p>
    <w:p>
      <w:pPr>
        <w:ind w:firstLine="0" w:firstLineChars="0"/>
      </w:pPr>
      <w:r>
        <w:rPr>
          <w:rFonts w:hint="eastAsia"/>
        </w:rPr>
        <w:t>检验方法：观察检查，检查施工记录。</w:t>
      </w:r>
    </w:p>
    <w:p>
      <w:pPr>
        <w:pStyle w:val="4"/>
        <w:ind w:right="210"/>
      </w:pPr>
      <w:r>
        <w:rPr>
          <w:rFonts w:hint="eastAsia"/>
        </w:rPr>
        <w:t>钢管内混凝土浇灌后的养护方法和养护时间应符合专项施工方案要求。</w:t>
      </w:r>
    </w:p>
    <w:p>
      <w:pPr>
        <w:ind w:firstLine="0" w:firstLineChars="0"/>
      </w:pPr>
      <w:r>
        <w:rPr>
          <w:rFonts w:hint="eastAsia"/>
        </w:rPr>
        <w:t>检查数量：全数检查。</w:t>
      </w:r>
    </w:p>
    <w:p>
      <w:pPr>
        <w:ind w:firstLine="0" w:firstLineChars="0"/>
      </w:pPr>
      <w:r>
        <w:rPr>
          <w:rFonts w:hint="eastAsia"/>
        </w:rPr>
        <w:t>检验方法：检查施工记录。</w:t>
      </w:r>
    </w:p>
    <w:p>
      <w:pPr>
        <w:pStyle w:val="4"/>
        <w:ind w:right="210"/>
      </w:pPr>
      <w:r>
        <w:rPr>
          <w:rFonts w:hint="eastAsia"/>
        </w:rPr>
        <w:t>钢管内混凝土浇筑后，浇灌孔、顶升孔、排气孔应按设计要求封堵，表面应平整，并进行表面清理和防腐处理。</w:t>
      </w:r>
    </w:p>
    <w:p>
      <w:pPr>
        <w:ind w:firstLine="0" w:firstLineChars="0"/>
      </w:pPr>
      <w:r>
        <w:rPr>
          <w:rFonts w:hint="eastAsia"/>
        </w:rPr>
        <w:t>检查数量：全数检查。</w:t>
      </w:r>
    </w:p>
    <w:p>
      <w:pPr>
        <w:ind w:firstLine="0" w:firstLineChars="0"/>
      </w:pPr>
      <w:r>
        <w:rPr>
          <w:rFonts w:hint="eastAsia"/>
        </w:rPr>
        <w:t>检验方法：观察检查。</w:t>
      </w:r>
    </w:p>
    <w:p>
      <w:pPr>
        <w:pStyle w:val="2"/>
        <w:keepNext w:val="0"/>
        <w:keepLines w:val="0"/>
        <w:spacing w:before="240" w:after="240"/>
      </w:pPr>
      <w:bookmarkStart w:id="215" w:name="_Toc186641512"/>
      <w:bookmarkStart w:id="216" w:name="_Toc177593636"/>
      <w:bookmarkStart w:id="217" w:name="_Toc177594775"/>
      <w:r>
        <w:rPr>
          <w:rFonts w:hint="eastAsia"/>
        </w:rPr>
        <w:t>标准实施及评价</w:t>
      </w:r>
      <w:bookmarkEnd w:id="215"/>
      <w:bookmarkEnd w:id="216"/>
      <w:bookmarkEnd w:id="217"/>
    </w:p>
    <w:p>
      <w:pPr>
        <w:pStyle w:val="3"/>
        <w:spacing w:before="120" w:after="120"/>
        <w:rPr>
          <w:rFonts w:ascii="宋体" w:hAnsi="宋体" w:eastAsia="宋体"/>
        </w:rPr>
      </w:pPr>
      <w:bookmarkStart w:id="218" w:name="_Toc177593637"/>
      <w:bookmarkStart w:id="219" w:name="_Toc177594776"/>
      <w:bookmarkStart w:id="220" w:name="_Toc186641513"/>
      <w:r>
        <w:rPr>
          <w:rFonts w:hint="eastAsia" w:ascii="宋体" w:hAnsi="宋体" w:eastAsia="宋体"/>
        </w:rPr>
        <w:t>结合实际，认真做好标准实施准备，包括标准实施的方案准备、组织准备、知识准备、手段准备和物质条件准备等。</w:t>
      </w:r>
      <w:bookmarkEnd w:id="218"/>
      <w:bookmarkEnd w:id="219"/>
      <w:bookmarkEnd w:id="220"/>
    </w:p>
    <w:p>
      <w:pPr>
        <w:pStyle w:val="3"/>
        <w:spacing w:before="120" w:after="120"/>
        <w:rPr>
          <w:rFonts w:ascii="宋体" w:hAnsi="宋体" w:eastAsia="宋体"/>
        </w:rPr>
      </w:pPr>
      <w:bookmarkStart w:id="221" w:name="_Toc186641514"/>
      <w:bookmarkStart w:id="222" w:name="_Toc177593638"/>
      <w:bookmarkStart w:id="223" w:name="_Toc177594777"/>
      <w:r>
        <w:rPr>
          <w:rFonts w:hint="eastAsia" w:ascii="宋体" w:hAnsi="宋体" w:eastAsia="宋体"/>
        </w:rPr>
        <w:t>制定标准实施方案，明确适用对象和场景、提供实施必备条件和保障（组织、制度、资金人员和没备仪器等）、推荐方法路径，确定资源要素配置、关键环节和控制点，提出标准实施的注意事项。</w:t>
      </w:r>
      <w:bookmarkEnd w:id="221"/>
      <w:bookmarkEnd w:id="222"/>
      <w:bookmarkEnd w:id="223"/>
    </w:p>
    <w:p>
      <w:pPr>
        <w:pStyle w:val="3"/>
        <w:spacing w:before="120" w:after="120"/>
        <w:rPr>
          <w:rFonts w:ascii="宋体" w:hAnsi="宋体" w:eastAsia="宋体"/>
        </w:rPr>
      </w:pPr>
      <w:bookmarkStart w:id="224" w:name="_Toc186641515"/>
      <w:bookmarkStart w:id="225" w:name="_Toc177593639"/>
      <w:bookmarkStart w:id="226" w:name="_Toc177594778"/>
      <w:r>
        <w:rPr>
          <w:rFonts w:hint="eastAsia" w:ascii="宋体" w:hAnsi="宋体" w:eastAsia="宋体"/>
        </w:rPr>
        <w:t>针对相关方和具体对象、岗位进行标准宣贯和培训，结合标准要求，落实责任制。做到横向到边,纵向到底。</w:t>
      </w:r>
      <w:bookmarkEnd w:id="224"/>
      <w:bookmarkEnd w:id="225"/>
      <w:bookmarkEnd w:id="226"/>
    </w:p>
    <w:p>
      <w:pPr>
        <w:pStyle w:val="3"/>
        <w:spacing w:before="120" w:after="120"/>
        <w:rPr>
          <w:rFonts w:ascii="宋体" w:hAnsi="宋体" w:eastAsia="宋体"/>
        </w:rPr>
      </w:pPr>
      <w:bookmarkStart w:id="227" w:name="_Toc177593640"/>
      <w:bookmarkStart w:id="228" w:name="_Toc177594779"/>
      <w:bookmarkStart w:id="229" w:name="_Toc186641516"/>
      <w:r>
        <w:rPr>
          <w:rFonts w:hint="eastAsia" w:ascii="宋体" w:hAnsi="宋体" w:eastAsia="宋体"/>
        </w:rPr>
        <w:t>标准实施主要在装配式混合框架结构、框架-剪力墙和框架-核心筒结构中框架部分</w:t>
      </w:r>
      <w:r>
        <w:rPr>
          <w:rFonts w:ascii="宋体" w:hAnsi="宋体" w:eastAsia="宋体"/>
        </w:rPr>
        <w:t>的设计</w:t>
      </w:r>
      <w:r>
        <w:rPr>
          <w:rFonts w:hint="eastAsia" w:ascii="宋体" w:hAnsi="宋体" w:eastAsia="宋体"/>
        </w:rPr>
        <w:t>、制作、</w:t>
      </w:r>
      <w:r>
        <w:rPr>
          <w:rFonts w:ascii="宋体" w:hAnsi="宋体" w:eastAsia="宋体"/>
        </w:rPr>
        <w:t>施工</w:t>
      </w:r>
      <w:r>
        <w:rPr>
          <w:rFonts w:hint="eastAsia" w:ascii="宋体" w:hAnsi="宋体" w:eastAsia="宋体"/>
        </w:rPr>
        <w:t>、</w:t>
      </w:r>
      <w:r>
        <w:rPr>
          <w:rFonts w:ascii="宋体" w:hAnsi="宋体" w:eastAsia="宋体"/>
        </w:rPr>
        <w:t>检验及验收</w:t>
      </w:r>
      <w:r>
        <w:rPr>
          <w:rFonts w:hint="eastAsia" w:ascii="宋体" w:hAnsi="宋体" w:eastAsia="宋体"/>
        </w:rPr>
        <w:t>等建筑工程领域中开展。工程建设、技术改造活动标准实施的重点是落实国家的环境保护、健康、卫生、安全的要求：落实国际单位制的要求；落实供电和供能技术体制等要求。产品研制活动标准实施的重点是落实产品开发、功能性能、质量、安全、技术体制、接口、节能环保、资源节约、维护和维修等要求。</w:t>
      </w:r>
      <w:bookmarkEnd w:id="227"/>
      <w:bookmarkEnd w:id="228"/>
      <w:bookmarkEnd w:id="229"/>
    </w:p>
    <w:p>
      <w:pPr>
        <w:pStyle w:val="3"/>
        <w:spacing w:before="120" w:after="120"/>
        <w:rPr>
          <w:rFonts w:ascii="宋体" w:hAnsi="宋体" w:eastAsia="宋体"/>
        </w:rPr>
      </w:pPr>
      <w:bookmarkStart w:id="230" w:name="_Toc177593641"/>
      <w:bookmarkStart w:id="231" w:name="_Toc177594780"/>
      <w:bookmarkStart w:id="232" w:name="_Toc186641517"/>
      <w:r>
        <w:rPr>
          <w:rFonts w:hint="eastAsia" w:ascii="宋体" w:hAnsi="宋体" w:eastAsia="宋体"/>
        </w:rPr>
        <w:t>标准实施的检查主要是检查标准实施方案的落实情况，需要逐条检查标准实施内容的落实,并记录未实施内容的理由或原因。标准实施检查也要检查标准实施的支持手段和物质条件的落实情况。做好标准实施验证记录，畅通标准实施信息采集的方式方法和反馈渠道，定期整理并处理收集到的意见建议。对标准实施评价的基本依据是《中华人民共和国标准化法》等。</w:t>
      </w:r>
      <w:bookmarkEnd w:id="230"/>
      <w:bookmarkEnd w:id="231"/>
      <w:bookmarkEnd w:id="232"/>
    </w:p>
    <w:p>
      <w:pPr>
        <w:pStyle w:val="3"/>
        <w:spacing w:before="120" w:after="120"/>
        <w:rPr>
          <w:rFonts w:ascii="宋体" w:hAnsi="宋体" w:eastAsia="宋体"/>
        </w:rPr>
      </w:pPr>
      <w:bookmarkStart w:id="233" w:name="_Toc186641518"/>
      <w:bookmarkStart w:id="234" w:name="_Toc177594781"/>
      <w:bookmarkStart w:id="235" w:name="_Toc177593642"/>
      <w:r>
        <w:rPr>
          <w:rFonts w:hint="eastAsia" w:ascii="宋体" w:hAnsi="宋体" w:eastAsia="宋体"/>
        </w:rPr>
        <w:t>在标准实施一定时间后，对照标准实施方案，开展标准实施效果评价分析，总结实施经验成效，梳理存在的薄弱环节，标准实施的评价主要是评价标准实施的效果，主要从技术进步、质量水平提高、客户满意度、规范秩序、效率提高、节约费用、节省时间、履行社会责任等方面进行有益性评价，同时还要评价标准实施带来的问题，以便为未来改进提供参考。</w:t>
      </w:r>
      <w:bookmarkEnd w:id="233"/>
      <w:bookmarkEnd w:id="234"/>
      <w:bookmarkEnd w:id="235"/>
    </w:p>
    <w:p>
      <w:pPr>
        <w:pStyle w:val="3"/>
        <w:spacing w:before="120" w:after="120"/>
        <w:rPr>
          <w:rFonts w:ascii="宋体" w:hAnsi="宋体" w:eastAsia="宋体"/>
        </w:rPr>
      </w:pPr>
      <w:bookmarkStart w:id="236" w:name="_Toc177594782"/>
      <w:bookmarkStart w:id="237" w:name="_Toc186641519"/>
      <w:bookmarkStart w:id="238" w:name="_Toc177593643"/>
      <w:r>
        <w:rPr>
          <w:rFonts w:hint="eastAsia" w:ascii="宋体" w:hAnsi="宋体" w:eastAsia="宋体"/>
        </w:rPr>
        <w:t>适时向专业标准化技术委员会和标准归口管理单位反馈情况，提出标准推广、修改、补充、完善或者废止等意见建议。</w:t>
      </w:r>
      <w:bookmarkEnd w:id="236"/>
      <w:bookmarkEnd w:id="237"/>
      <w:bookmarkEnd w:id="238"/>
    </w:p>
    <w:p>
      <w:pPr>
        <w:pStyle w:val="3"/>
        <w:spacing w:before="120" w:after="120"/>
        <w:rPr>
          <w:rFonts w:ascii="宋体" w:hAnsi="宋体" w:eastAsia="宋体"/>
        </w:rPr>
      </w:pPr>
      <w:bookmarkStart w:id="239" w:name="_Toc186641520"/>
      <w:bookmarkStart w:id="240" w:name="_Toc177594783"/>
      <w:bookmarkStart w:id="241" w:name="_Toc177593644"/>
      <w:r>
        <w:rPr>
          <w:rFonts w:hint="eastAsia" w:ascii="宋体" w:hAnsi="宋体" w:eastAsia="宋体"/>
        </w:rPr>
        <w:t>标准实施信息及意见反馈表相关示例见附录</w:t>
      </w:r>
      <w:r>
        <w:rPr>
          <w:rFonts w:ascii="宋体" w:hAnsi="宋体" w:eastAsia="宋体"/>
        </w:rPr>
        <w:t>D</w:t>
      </w:r>
      <w:r>
        <w:rPr>
          <w:rFonts w:hint="eastAsia" w:ascii="宋体" w:hAnsi="宋体" w:eastAsia="宋体"/>
        </w:rPr>
        <w:t>。</w:t>
      </w:r>
      <w:bookmarkEnd w:id="239"/>
      <w:bookmarkEnd w:id="240"/>
      <w:bookmarkEnd w:id="241"/>
    </w:p>
    <w:p>
      <w:pPr>
        <w:widowControl/>
        <w:adjustRightInd/>
        <w:snapToGrid/>
        <w:spacing w:line="240" w:lineRule="auto"/>
        <w:ind w:firstLine="0" w:firstLineChars="0"/>
        <w:jc w:val="left"/>
      </w:pPr>
      <w:r>
        <w:br w:type="page"/>
      </w:r>
    </w:p>
    <w:p>
      <w:pPr>
        <w:pStyle w:val="107"/>
        <w:numPr>
          <w:ilvl w:val="2"/>
          <w:numId w:val="0"/>
        </w:numPr>
        <w:spacing w:before="0" w:beforeLines="0" w:after="0" w:afterLines="0"/>
        <w:jc w:val="center"/>
        <w:textAlignment w:val="center"/>
        <w:outlineLvl w:val="0"/>
        <w:rPr>
          <w:rFonts w:ascii="Times New Roman"/>
        </w:rPr>
      </w:pPr>
      <w:bookmarkStart w:id="242" w:name="_Toc186641521"/>
      <w:bookmarkStart w:id="243" w:name="_Toc10389"/>
      <w:bookmarkStart w:id="244" w:name="_Toc177593645"/>
      <w:bookmarkStart w:id="245" w:name="_Toc177594784"/>
      <w:bookmarkStart w:id="246" w:name="_Toc177592501"/>
      <w:r>
        <w:rPr>
          <w:rFonts w:ascii="Times New Roman"/>
        </w:rPr>
        <w:t>附录A</w:t>
      </w:r>
      <w:bookmarkEnd w:id="242"/>
    </w:p>
    <w:p>
      <w:pPr>
        <w:pStyle w:val="107"/>
        <w:numPr>
          <w:ilvl w:val="2"/>
          <w:numId w:val="0"/>
        </w:numPr>
        <w:spacing w:before="0" w:beforeLines="0" w:after="0" w:afterLines="0"/>
        <w:jc w:val="center"/>
        <w:textAlignment w:val="center"/>
        <w:outlineLvl w:val="0"/>
        <w:rPr>
          <w:rFonts w:ascii="Times New Roman"/>
        </w:rPr>
      </w:pPr>
      <w:bookmarkStart w:id="247" w:name="_Toc186641522"/>
      <w:r>
        <w:rPr>
          <w:rFonts w:hint="eastAsia" w:ascii="Times New Roman"/>
        </w:rPr>
        <w:t>（资料性）</w:t>
      </w:r>
      <w:bookmarkEnd w:id="247"/>
    </w:p>
    <w:p>
      <w:pPr>
        <w:pStyle w:val="107"/>
        <w:numPr>
          <w:ilvl w:val="2"/>
          <w:numId w:val="0"/>
        </w:numPr>
        <w:spacing w:before="0" w:beforeLines="0" w:after="0" w:afterLines="0"/>
        <w:jc w:val="center"/>
        <w:textAlignment w:val="center"/>
        <w:outlineLvl w:val="0"/>
        <w:rPr>
          <w:rFonts w:hAnsi="黑体"/>
        </w:rPr>
      </w:pPr>
      <w:bookmarkStart w:id="248" w:name="_Toc186641523"/>
      <w:r>
        <w:rPr>
          <w:rFonts w:hAnsi="黑体"/>
          <w:bCs/>
        </w:rPr>
        <w:t>矩形钢管混凝土柱开孔区域钢板补强选用表</w:t>
      </w:r>
      <w:bookmarkEnd w:id="248"/>
    </w:p>
    <w:bookmarkEnd w:id="243"/>
    <w:bookmarkEnd w:id="244"/>
    <w:bookmarkEnd w:id="245"/>
    <w:bookmarkEnd w:id="246"/>
    <w:p>
      <w:pPr>
        <w:spacing w:line="400" w:lineRule="exact"/>
        <w:ind w:firstLine="420"/>
        <w:rPr>
          <w:rFonts w:ascii="宋体" w:hAnsi="宋体"/>
          <w:bCs/>
        </w:rPr>
      </w:pPr>
      <w:r>
        <w:rPr>
          <w:rFonts w:hint="eastAsia" w:ascii="宋体" w:hAnsi="宋体"/>
          <w:bCs/>
        </w:rPr>
        <w:t>表A</w:t>
      </w:r>
      <w:r>
        <w:rPr>
          <w:rFonts w:ascii="宋体" w:hAnsi="宋体"/>
          <w:bCs/>
        </w:rPr>
        <w:t>.1-A.4给出了常见</w:t>
      </w:r>
      <w:r>
        <w:rPr>
          <w:rFonts w:hAnsi="黑体"/>
          <w:bCs/>
        </w:rPr>
        <w:t>矩形钢管混凝土柱开孔区域钢板补强选用数据。</w:t>
      </w:r>
    </w:p>
    <w:p>
      <w:pPr>
        <w:spacing w:line="400" w:lineRule="exact"/>
        <w:ind w:firstLine="0" w:firstLineChars="0"/>
        <w:jc w:val="center"/>
      </w:pPr>
      <w:r>
        <w:rPr>
          <w:rFonts w:ascii="黑体" w:hAnsi="黑体" w:eastAsia="黑体"/>
          <w:bCs/>
        </w:rPr>
        <w:t>表A.1</w:t>
      </w:r>
      <w:r>
        <w:rPr>
          <w:rFonts w:hint="eastAsia" w:ascii="黑体" w:hAnsi="黑体" w:eastAsia="黑体"/>
          <w:bCs/>
        </w:rPr>
        <w:t>　梁高600mm</w:t>
      </w:r>
      <w:r>
        <w:rPr>
          <w:rFonts w:ascii="黑体" w:hAnsi="黑体" w:eastAsia="黑体"/>
          <w:bCs/>
        </w:rPr>
        <w:t>（</w:t>
      </w:r>
      <w:r>
        <w:rPr>
          <w:rFonts w:hint="eastAsia" w:ascii="黑体" w:hAnsi="黑体" w:eastAsia="黑体"/>
          <w:bCs/>
        </w:rPr>
        <w:t>开两个小孔</w:t>
      </w:r>
      <w:r>
        <w:rPr>
          <w:rFonts w:ascii="黑体" w:hAnsi="黑体" w:eastAsia="黑体"/>
          <w:bCs/>
        </w:rPr>
        <w:t>）</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38"/>
        <w:gridCol w:w="1038"/>
        <w:gridCol w:w="1038"/>
        <w:gridCol w:w="1038"/>
        <w:gridCol w:w="1038"/>
        <w:gridCol w:w="1039"/>
        <w:gridCol w:w="1039"/>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gridSpan w:val="2"/>
            <w:vAlign w:val="center"/>
          </w:tcPr>
          <w:p>
            <w:pPr>
              <w:spacing w:line="280" w:lineRule="exact"/>
              <w:ind w:firstLine="0" w:firstLineChars="0"/>
              <w:jc w:val="center"/>
              <w:rPr>
                <w:rFonts w:cs="Times New Roman"/>
                <w:sz w:val="18"/>
                <w:szCs w:val="18"/>
              </w:rPr>
            </w:pPr>
            <w:r>
              <w:rPr>
                <w:rFonts w:cs="Times New Roman"/>
                <w:sz w:val="18"/>
                <w:szCs w:val="18"/>
              </w:rPr>
              <w:t>矩形钢管柱</w:t>
            </w:r>
          </w:p>
        </w:tc>
        <w:tc>
          <w:tcPr>
            <w:tcW w:w="7269" w:type="dxa"/>
            <w:gridSpan w:val="7"/>
            <w:vAlign w:val="center"/>
          </w:tcPr>
          <w:p>
            <w:pPr>
              <w:spacing w:line="280" w:lineRule="exact"/>
              <w:ind w:firstLine="0" w:firstLineChars="0"/>
              <w:jc w:val="center"/>
              <w:rPr>
                <w:rFonts w:cs="Times New Roman"/>
                <w:sz w:val="18"/>
                <w:szCs w:val="18"/>
              </w:rPr>
            </w:pPr>
            <w:r>
              <w:rPr>
                <w:rFonts w:cs="Times New Roman"/>
                <w:sz w:val="18"/>
                <w:szCs w:val="18"/>
              </w:rPr>
              <w:t>框架梁梁宽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pPr>
              <w:spacing w:line="280" w:lineRule="exact"/>
              <w:ind w:firstLine="0" w:firstLineChars="0"/>
              <w:jc w:val="center"/>
              <w:rPr>
                <w:rFonts w:cs="Times New Roman"/>
                <w:sz w:val="18"/>
                <w:szCs w:val="18"/>
              </w:rPr>
            </w:pPr>
            <w:r>
              <w:rPr>
                <w:rFonts w:cs="Times New Roman"/>
                <w:sz w:val="18"/>
                <w:szCs w:val="18"/>
              </w:rPr>
              <w:t>边长</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壁厚</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250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400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500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78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600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100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700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800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r>
    </w:tbl>
    <w:p>
      <w:pPr>
        <w:widowControl/>
        <w:adjustRightInd/>
        <w:snapToGrid/>
        <w:spacing w:line="240" w:lineRule="auto"/>
        <w:ind w:firstLine="0" w:firstLineChars="0"/>
        <w:jc w:val="left"/>
      </w:pPr>
      <w:r>
        <w:br w:type="page"/>
      </w:r>
    </w:p>
    <w:p>
      <w:pPr>
        <w:spacing w:line="400" w:lineRule="exact"/>
        <w:ind w:firstLine="0" w:firstLineChars="0"/>
        <w:jc w:val="center"/>
      </w:pPr>
      <w:r>
        <w:rPr>
          <w:rFonts w:ascii="黑体" w:hAnsi="黑体" w:eastAsia="黑体"/>
          <w:bCs/>
        </w:rPr>
        <w:t>表A.2</w:t>
      </w:r>
      <w:r>
        <w:rPr>
          <w:rFonts w:hint="eastAsia" w:ascii="黑体" w:hAnsi="黑体" w:eastAsia="黑体"/>
          <w:bCs/>
        </w:rPr>
        <w:t>　梁高600mm</w:t>
      </w:r>
      <w:r>
        <w:rPr>
          <w:rFonts w:ascii="黑体" w:hAnsi="黑体" w:eastAsia="黑体"/>
          <w:bCs/>
        </w:rPr>
        <w:t>（</w:t>
      </w:r>
      <w:r>
        <w:rPr>
          <w:rFonts w:hint="eastAsia" w:ascii="黑体" w:hAnsi="黑体" w:eastAsia="黑体"/>
          <w:bCs/>
        </w:rPr>
        <w:t>开一个大孔</w:t>
      </w:r>
      <w:r>
        <w:rPr>
          <w:rFonts w:ascii="黑体" w:hAnsi="黑体" w:eastAsia="黑体"/>
          <w:bCs/>
        </w:rPr>
        <w:t>）</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38"/>
        <w:gridCol w:w="1038"/>
        <w:gridCol w:w="1038"/>
        <w:gridCol w:w="1038"/>
        <w:gridCol w:w="1038"/>
        <w:gridCol w:w="1039"/>
        <w:gridCol w:w="1039"/>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gridSpan w:val="2"/>
            <w:vAlign w:val="center"/>
          </w:tcPr>
          <w:p>
            <w:pPr>
              <w:spacing w:line="280" w:lineRule="exact"/>
              <w:ind w:firstLine="0" w:firstLineChars="0"/>
              <w:jc w:val="center"/>
              <w:rPr>
                <w:rFonts w:cs="Times New Roman"/>
                <w:sz w:val="18"/>
                <w:szCs w:val="18"/>
              </w:rPr>
            </w:pPr>
            <w:r>
              <w:rPr>
                <w:rFonts w:cs="Times New Roman"/>
                <w:sz w:val="18"/>
                <w:szCs w:val="18"/>
              </w:rPr>
              <w:t>矩形钢管柱</w:t>
            </w:r>
          </w:p>
        </w:tc>
        <w:tc>
          <w:tcPr>
            <w:tcW w:w="7269" w:type="dxa"/>
            <w:gridSpan w:val="7"/>
            <w:vAlign w:val="center"/>
          </w:tcPr>
          <w:p>
            <w:pPr>
              <w:spacing w:line="280" w:lineRule="exact"/>
              <w:ind w:firstLine="0" w:firstLineChars="0"/>
              <w:jc w:val="center"/>
              <w:rPr>
                <w:rFonts w:cs="Times New Roman"/>
                <w:sz w:val="18"/>
                <w:szCs w:val="18"/>
              </w:rPr>
            </w:pPr>
            <w:r>
              <w:rPr>
                <w:rFonts w:cs="Times New Roman"/>
                <w:sz w:val="18"/>
                <w:szCs w:val="18"/>
              </w:rPr>
              <w:t>框架梁梁宽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pPr>
              <w:spacing w:line="280" w:lineRule="exact"/>
              <w:ind w:firstLine="0" w:firstLineChars="0"/>
              <w:jc w:val="center"/>
              <w:rPr>
                <w:rFonts w:cs="Times New Roman"/>
                <w:sz w:val="18"/>
                <w:szCs w:val="18"/>
              </w:rPr>
            </w:pPr>
            <w:r>
              <w:rPr>
                <w:rFonts w:cs="Times New Roman"/>
                <w:sz w:val="18"/>
                <w:szCs w:val="18"/>
              </w:rPr>
              <w:t>边长</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壁厚</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250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400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500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78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100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74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78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600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106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76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700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800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84</w:t>
            </w:r>
          </w:p>
        </w:tc>
      </w:tr>
    </w:tbl>
    <w:p>
      <w:pPr>
        <w:ind w:firstLine="0" w:firstLineChars="0"/>
      </w:pPr>
    </w:p>
    <w:p>
      <w:pPr>
        <w:widowControl/>
        <w:adjustRightInd/>
        <w:snapToGrid/>
        <w:spacing w:line="240" w:lineRule="auto"/>
        <w:ind w:firstLine="0" w:firstLineChars="0"/>
        <w:jc w:val="left"/>
      </w:pPr>
      <w:r>
        <w:br w:type="page"/>
      </w:r>
    </w:p>
    <w:p>
      <w:pPr>
        <w:spacing w:line="400" w:lineRule="exact"/>
        <w:ind w:firstLine="0" w:firstLineChars="0"/>
        <w:jc w:val="center"/>
      </w:pPr>
      <w:r>
        <w:rPr>
          <w:rFonts w:ascii="黑体" w:hAnsi="黑体" w:eastAsia="黑体"/>
          <w:bCs/>
        </w:rPr>
        <w:t>表A.3</w:t>
      </w:r>
      <w:r>
        <w:rPr>
          <w:rFonts w:hint="eastAsia" w:ascii="黑体" w:hAnsi="黑体" w:eastAsia="黑体"/>
          <w:bCs/>
        </w:rPr>
        <w:t>　梁高</w:t>
      </w:r>
      <w:r>
        <w:rPr>
          <w:rFonts w:ascii="黑体" w:hAnsi="黑体" w:eastAsia="黑体"/>
          <w:bCs/>
        </w:rPr>
        <w:t>7</w:t>
      </w:r>
      <w:r>
        <w:rPr>
          <w:rFonts w:hint="eastAsia" w:ascii="黑体" w:hAnsi="黑体" w:eastAsia="黑体"/>
          <w:bCs/>
        </w:rPr>
        <w:t>00mm</w:t>
      </w:r>
      <w:r>
        <w:rPr>
          <w:rFonts w:ascii="黑体" w:hAnsi="黑体" w:eastAsia="黑体"/>
          <w:bCs/>
        </w:rPr>
        <w:t>（</w:t>
      </w:r>
      <w:r>
        <w:rPr>
          <w:rFonts w:hint="eastAsia" w:ascii="黑体" w:hAnsi="黑体" w:eastAsia="黑体"/>
          <w:bCs/>
        </w:rPr>
        <w:t>开两个小孔</w:t>
      </w:r>
      <w:r>
        <w:rPr>
          <w:rFonts w:ascii="黑体" w:hAnsi="黑体" w:eastAsia="黑体"/>
          <w:bCs/>
        </w:rPr>
        <w:t>）</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38"/>
        <w:gridCol w:w="1038"/>
        <w:gridCol w:w="1038"/>
        <w:gridCol w:w="1038"/>
        <w:gridCol w:w="1038"/>
        <w:gridCol w:w="1039"/>
        <w:gridCol w:w="1039"/>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gridSpan w:val="2"/>
            <w:vAlign w:val="center"/>
          </w:tcPr>
          <w:p>
            <w:pPr>
              <w:spacing w:line="280" w:lineRule="exact"/>
              <w:ind w:firstLine="0" w:firstLineChars="0"/>
              <w:jc w:val="center"/>
              <w:rPr>
                <w:rFonts w:cs="Times New Roman"/>
                <w:sz w:val="18"/>
                <w:szCs w:val="18"/>
              </w:rPr>
            </w:pPr>
            <w:r>
              <w:rPr>
                <w:rFonts w:cs="Times New Roman"/>
                <w:sz w:val="18"/>
                <w:szCs w:val="18"/>
              </w:rPr>
              <w:t>矩形钢管柱</w:t>
            </w:r>
          </w:p>
        </w:tc>
        <w:tc>
          <w:tcPr>
            <w:tcW w:w="7269" w:type="dxa"/>
            <w:gridSpan w:val="7"/>
            <w:vAlign w:val="center"/>
          </w:tcPr>
          <w:p>
            <w:pPr>
              <w:spacing w:line="280" w:lineRule="exact"/>
              <w:ind w:firstLine="0" w:firstLineChars="0"/>
              <w:jc w:val="center"/>
              <w:rPr>
                <w:rFonts w:cs="Times New Roman"/>
                <w:sz w:val="18"/>
                <w:szCs w:val="18"/>
              </w:rPr>
            </w:pPr>
            <w:r>
              <w:rPr>
                <w:rFonts w:cs="Times New Roman"/>
                <w:sz w:val="18"/>
                <w:szCs w:val="18"/>
              </w:rPr>
              <w:t>框架梁梁宽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pPr>
              <w:spacing w:line="280" w:lineRule="exact"/>
              <w:ind w:firstLine="0" w:firstLineChars="0"/>
              <w:jc w:val="center"/>
              <w:rPr>
                <w:rFonts w:cs="Times New Roman"/>
                <w:sz w:val="18"/>
                <w:szCs w:val="18"/>
              </w:rPr>
            </w:pPr>
            <w:r>
              <w:rPr>
                <w:rFonts w:cs="Times New Roman"/>
                <w:sz w:val="18"/>
                <w:szCs w:val="18"/>
              </w:rPr>
              <w:t>边长</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壁厚</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250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400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500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80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600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102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700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800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r>
    </w:tbl>
    <w:p>
      <w:pPr>
        <w:ind w:firstLine="0" w:firstLineChars="0"/>
      </w:pPr>
    </w:p>
    <w:p>
      <w:pPr>
        <w:widowControl/>
        <w:adjustRightInd/>
        <w:snapToGrid/>
        <w:spacing w:line="240" w:lineRule="auto"/>
        <w:ind w:firstLine="0" w:firstLineChars="0"/>
        <w:jc w:val="left"/>
      </w:pPr>
      <w:r>
        <w:br w:type="page"/>
      </w:r>
    </w:p>
    <w:p>
      <w:pPr>
        <w:spacing w:line="400" w:lineRule="exact"/>
        <w:ind w:firstLine="0" w:firstLineChars="0"/>
        <w:jc w:val="center"/>
      </w:pPr>
      <w:r>
        <w:rPr>
          <w:rFonts w:ascii="黑体" w:hAnsi="黑体" w:eastAsia="黑体"/>
          <w:bCs/>
        </w:rPr>
        <w:t>表A.4</w:t>
      </w:r>
      <w:r>
        <w:rPr>
          <w:rFonts w:hint="eastAsia" w:ascii="黑体" w:hAnsi="黑体" w:eastAsia="黑体"/>
          <w:bCs/>
        </w:rPr>
        <w:t>　梁高</w:t>
      </w:r>
      <w:r>
        <w:rPr>
          <w:rFonts w:ascii="黑体" w:hAnsi="黑体" w:eastAsia="黑体"/>
          <w:bCs/>
        </w:rPr>
        <w:t>8</w:t>
      </w:r>
      <w:r>
        <w:rPr>
          <w:rFonts w:hint="eastAsia" w:ascii="黑体" w:hAnsi="黑体" w:eastAsia="黑体"/>
          <w:bCs/>
        </w:rPr>
        <w:t>00mm</w:t>
      </w:r>
      <w:r>
        <w:rPr>
          <w:rFonts w:ascii="黑体" w:hAnsi="黑体" w:eastAsia="黑体"/>
          <w:bCs/>
        </w:rPr>
        <w:t>（</w:t>
      </w:r>
      <w:r>
        <w:rPr>
          <w:rFonts w:hint="eastAsia" w:ascii="黑体" w:hAnsi="黑体" w:eastAsia="黑体"/>
          <w:bCs/>
        </w:rPr>
        <w:t>开两个小洞</w:t>
      </w:r>
      <w:r>
        <w:rPr>
          <w:rFonts w:ascii="黑体" w:hAnsi="黑体" w:eastAsia="黑体"/>
          <w:bCs/>
        </w:rPr>
        <w:t>）</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38"/>
        <w:gridCol w:w="1038"/>
        <w:gridCol w:w="1038"/>
        <w:gridCol w:w="1038"/>
        <w:gridCol w:w="1038"/>
        <w:gridCol w:w="1039"/>
        <w:gridCol w:w="1039"/>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gridSpan w:val="2"/>
            <w:vAlign w:val="center"/>
          </w:tcPr>
          <w:p>
            <w:pPr>
              <w:spacing w:line="280" w:lineRule="exact"/>
              <w:ind w:firstLine="0" w:firstLineChars="0"/>
              <w:jc w:val="center"/>
              <w:rPr>
                <w:rFonts w:cs="Times New Roman"/>
                <w:sz w:val="18"/>
                <w:szCs w:val="18"/>
              </w:rPr>
            </w:pPr>
            <w:r>
              <w:rPr>
                <w:rFonts w:cs="Times New Roman"/>
                <w:sz w:val="18"/>
                <w:szCs w:val="18"/>
              </w:rPr>
              <w:t>矩形钢管柱</w:t>
            </w:r>
          </w:p>
        </w:tc>
        <w:tc>
          <w:tcPr>
            <w:tcW w:w="7269" w:type="dxa"/>
            <w:gridSpan w:val="7"/>
            <w:vAlign w:val="center"/>
          </w:tcPr>
          <w:p>
            <w:pPr>
              <w:spacing w:line="280" w:lineRule="exact"/>
              <w:ind w:firstLine="0" w:firstLineChars="0"/>
              <w:jc w:val="center"/>
              <w:rPr>
                <w:rFonts w:cs="Times New Roman"/>
                <w:sz w:val="18"/>
                <w:szCs w:val="18"/>
              </w:rPr>
            </w:pPr>
            <w:r>
              <w:rPr>
                <w:rFonts w:cs="Times New Roman"/>
                <w:sz w:val="18"/>
                <w:szCs w:val="18"/>
              </w:rPr>
              <w:t>框架梁梁宽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pPr>
              <w:spacing w:line="280" w:lineRule="exact"/>
              <w:ind w:firstLine="0" w:firstLineChars="0"/>
              <w:jc w:val="center"/>
              <w:rPr>
                <w:rFonts w:cs="Times New Roman"/>
                <w:sz w:val="18"/>
                <w:szCs w:val="18"/>
              </w:rPr>
            </w:pPr>
            <w:r>
              <w:rPr>
                <w:rFonts w:cs="Times New Roman"/>
                <w:sz w:val="18"/>
                <w:szCs w:val="18"/>
              </w:rPr>
              <w:t>边长</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壁厚</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250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400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450</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500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center"/>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center"/>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82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70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600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68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106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700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restart"/>
            <w:vAlign w:val="center"/>
          </w:tcPr>
          <w:p>
            <w:pPr>
              <w:spacing w:line="280" w:lineRule="exact"/>
              <w:ind w:firstLine="0" w:firstLineChars="0"/>
              <w:jc w:val="center"/>
              <w:rPr>
                <w:rFonts w:cs="Times New Roman"/>
                <w:sz w:val="18"/>
                <w:szCs w:val="18"/>
              </w:rPr>
            </w:pPr>
            <w:r>
              <w:rPr>
                <w:rFonts w:cs="Times New Roman"/>
                <w:sz w:val="18"/>
                <w:szCs w:val="18"/>
              </w:rPr>
              <w:t>800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18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34</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46</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28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60</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Merge w:val="continue"/>
            <w:vAlign w:val="center"/>
          </w:tcPr>
          <w:p>
            <w:pPr>
              <w:spacing w:line="280" w:lineRule="exact"/>
              <w:ind w:firstLine="0" w:firstLineChars="0"/>
              <w:jc w:val="center"/>
              <w:rPr>
                <w:rFonts w:cs="Times New Roman"/>
                <w:sz w:val="18"/>
                <w:szCs w:val="18"/>
              </w:rPr>
            </w:pP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30</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36</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38</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42</w:t>
            </w:r>
          </w:p>
        </w:tc>
        <w:tc>
          <w:tcPr>
            <w:tcW w:w="1038" w:type="dxa"/>
            <w:vAlign w:val="bottom"/>
          </w:tcPr>
          <w:p>
            <w:pPr>
              <w:spacing w:line="280" w:lineRule="exact"/>
              <w:ind w:firstLine="0" w:firstLineChars="0"/>
              <w:jc w:val="center"/>
              <w:rPr>
                <w:rFonts w:cs="Times New Roman"/>
                <w:sz w:val="18"/>
                <w:szCs w:val="18"/>
              </w:rPr>
            </w:pPr>
            <w:r>
              <w:rPr>
                <w:rFonts w:cs="Times New Roman"/>
                <w:sz w:val="18"/>
                <w:szCs w:val="18"/>
              </w:rPr>
              <w:t>48</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54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64</w:t>
            </w:r>
          </w:p>
        </w:tc>
        <w:tc>
          <w:tcPr>
            <w:tcW w:w="1039" w:type="dxa"/>
            <w:vAlign w:val="bottom"/>
          </w:tcPr>
          <w:p>
            <w:pPr>
              <w:spacing w:line="280" w:lineRule="exact"/>
              <w:ind w:firstLine="0" w:firstLineChars="0"/>
              <w:jc w:val="center"/>
              <w:rPr>
                <w:rFonts w:cs="Times New Roman"/>
                <w:sz w:val="18"/>
                <w:szCs w:val="18"/>
              </w:rPr>
            </w:pPr>
            <w:r>
              <w:rPr>
                <w:rFonts w:cs="Times New Roman"/>
                <w:sz w:val="18"/>
                <w:szCs w:val="18"/>
              </w:rPr>
              <w:t>80</w:t>
            </w:r>
          </w:p>
        </w:tc>
      </w:tr>
    </w:tbl>
    <w:p>
      <w:pPr>
        <w:ind w:firstLine="0" w:firstLineChars="0"/>
      </w:pPr>
    </w:p>
    <w:p>
      <w:pPr>
        <w:widowControl/>
        <w:adjustRightInd/>
        <w:snapToGrid/>
        <w:spacing w:line="240" w:lineRule="auto"/>
        <w:ind w:firstLine="0" w:firstLineChars="0"/>
        <w:jc w:val="left"/>
      </w:pPr>
      <w:r>
        <w:br w:type="page"/>
      </w:r>
    </w:p>
    <w:p>
      <w:pPr>
        <w:pStyle w:val="107"/>
        <w:numPr>
          <w:ilvl w:val="2"/>
          <w:numId w:val="0"/>
        </w:numPr>
        <w:spacing w:before="0" w:beforeLines="0" w:after="0" w:afterLines="0"/>
        <w:jc w:val="center"/>
        <w:textAlignment w:val="center"/>
        <w:outlineLvl w:val="0"/>
        <w:rPr>
          <w:rFonts w:ascii="Times New Roman"/>
        </w:rPr>
      </w:pPr>
      <w:bookmarkStart w:id="249" w:name="_Toc186641524"/>
      <w:r>
        <w:rPr>
          <w:rFonts w:ascii="Times New Roman"/>
        </w:rPr>
        <w:t>附录B</w:t>
      </w:r>
      <w:bookmarkEnd w:id="249"/>
    </w:p>
    <w:p>
      <w:pPr>
        <w:pStyle w:val="107"/>
        <w:numPr>
          <w:ilvl w:val="2"/>
          <w:numId w:val="0"/>
        </w:numPr>
        <w:spacing w:before="0" w:beforeLines="0" w:after="0" w:afterLines="0"/>
        <w:jc w:val="center"/>
        <w:textAlignment w:val="center"/>
        <w:outlineLvl w:val="0"/>
        <w:rPr>
          <w:rFonts w:ascii="Times New Roman"/>
        </w:rPr>
      </w:pPr>
      <w:bookmarkStart w:id="250" w:name="_Toc186641525"/>
      <w:r>
        <w:rPr>
          <w:rFonts w:hint="eastAsia" w:ascii="Times New Roman"/>
        </w:rPr>
        <w:t>（规范性）</w:t>
      </w:r>
      <w:bookmarkEnd w:id="250"/>
    </w:p>
    <w:p>
      <w:pPr>
        <w:pStyle w:val="107"/>
        <w:numPr>
          <w:ilvl w:val="2"/>
          <w:numId w:val="0"/>
        </w:numPr>
        <w:spacing w:before="0" w:beforeLines="0" w:after="0" w:afterLines="0"/>
        <w:jc w:val="center"/>
        <w:textAlignment w:val="center"/>
        <w:outlineLvl w:val="0"/>
        <w:rPr>
          <w:rFonts w:ascii="Times New Roman"/>
        </w:rPr>
      </w:pPr>
      <w:bookmarkStart w:id="251" w:name="_Toc186641526"/>
      <w:r>
        <w:rPr>
          <w:rFonts w:hint="eastAsia"/>
        </w:rPr>
        <w:t>钢管混凝土构件防火计算方法</w:t>
      </w:r>
      <w:bookmarkEnd w:id="251"/>
    </w:p>
    <w:p>
      <w:pPr>
        <w:pStyle w:val="63"/>
        <w:ind w:firstLine="0" w:firstLineChars="0"/>
      </w:pPr>
    </w:p>
    <w:p>
      <w:pPr>
        <w:widowControl/>
        <w:adjustRightInd/>
        <w:spacing w:before="120" w:beforeLines="50" w:after="120" w:afterLines="50" w:line="240" w:lineRule="auto"/>
        <w:ind w:firstLine="0" w:firstLineChars="0"/>
        <w:textAlignment w:val="center"/>
        <w:outlineLvl w:val="1"/>
        <w:rPr>
          <w:rFonts w:ascii="黑体" w:hAnsi="黑体" w:eastAsia="黑体"/>
          <w:kern w:val="0"/>
          <w:szCs w:val="20"/>
        </w:rPr>
      </w:pPr>
      <w:bookmarkStart w:id="252" w:name="_Toc177593651"/>
      <w:bookmarkStart w:id="253" w:name="_Toc177594790"/>
      <w:bookmarkStart w:id="254" w:name="_Toc177592507"/>
      <w:bookmarkStart w:id="255" w:name="_Toc186641527"/>
      <w:r>
        <w:rPr>
          <w:rFonts w:ascii="黑体" w:hAnsi="黑体" w:eastAsia="黑体"/>
          <w:kern w:val="0"/>
          <w:szCs w:val="20"/>
        </w:rPr>
        <w:t>B.1</w:t>
      </w:r>
      <w:r>
        <w:rPr>
          <w:rFonts w:hint="eastAsia" w:ascii="黑体" w:hAnsi="黑体" w:eastAsia="黑体"/>
          <w:kern w:val="0"/>
          <w:szCs w:val="20"/>
        </w:rPr>
        <w:t>　</w:t>
      </w:r>
      <w:bookmarkEnd w:id="252"/>
      <w:bookmarkEnd w:id="253"/>
      <w:bookmarkEnd w:id="254"/>
      <w:r>
        <w:rPr>
          <w:rFonts w:hint="eastAsia" w:ascii="黑体" w:hAnsi="黑体" w:eastAsia="黑体"/>
          <w:kern w:val="0"/>
          <w:szCs w:val="20"/>
        </w:rPr>
        <w:t>钢管混凝土柱</w:t>
      </w:r>
      <w:bookmarkEnd w:id="255"/>
    </w:p>
    <w:p>
      <w:pPr>
        <w:pStyle w:val="4"/>
        <w:numPr>
          <w:ilvl w:val="0"/>
          <w:numId w:val="0"/>
        </w:numPr>
        <w:ind w:right="210"/>
      </w:pPr>
      <w:r>
        <w:rPr>
          <w:rFonts w:ascii="黑体" w:hAnsi="黑体" w:eastAsia="黑体"/>
        </w:rPr>
        <w:t>B.1.1</w:t>
      </w:r>
      <w:r>
        <w:rPr>
          <w:rFonts w:hint="eastAsia"/>
        </w:rPr>
        <w:t>　火灾标准升温曲线应按公式</w:t>
      </w:r>
      <w:r>
        <w:rPr>
          <w:rFonts w:hint="eastAsia"/>
          <w:lang w:val="zh-CN"/>
        </w:rPr>
        <w:t>（</w:t>
      </w:r>
      <w:r>
        <w:rPr>
          <w:rFonts w:hAnsi="宋体" w:cs="Times New Roman"/>
          <w:spacing w:val="-1"/>
        </w:rPr>
        <w:t>B.1</w:t>
      </w:r>
      <w:r>
        <w:rPr>
          <w:rFonts w:hint="eastAsia"/>
          <w:lang w:val="zh-CN"/>
        </w:rPr>
        <w:t>）</w:t>
      </w:r>
      <w:r>
        <w:rPr>
          <w:rFonts w:hint="eastAsia"/>
        </w:rPr>
        <w:t>计算：</w:t>
      </w:r>
    </w:p>
    <w:p>
      <w:pPr>
        <w:pStyle w:val="15"/>
        <w:jc w:val="right"/>
      </w:pPr>
      <w:r>
        <w:t xml:space="preserve">                              </w:t>
      </w:r>
      <w:r>
        <w:rPr>
          <w:position w:val="-12"/>
        </w:rPr>
        <w:object>
          <v:shape id="_x0000_i1065" o:spt="75" type="#_x0000_t75" style="height:14.4pt;width:108.3pt;" o:ole="t" filled="f" o:preferrelative="t" stroked="f" coordsize="21600,21600">
            <v:path/>
            <v:fill on="f" focussize="0,0"/>
            <v:stroke on="f" joinstyle="miter"/>
            <v:imagedata r:id="rId113" o:title=""/>
            <o:lock v:ext="edit" aspectratio="t"/>
            <w10:wrap type="none"/>
            <w10:anchorlock/>
          </v:shape>
          <o:OLEObject Type="Embed" ProgID="Equation.DSMT4" ShapeID="_x0000_i1065" DrawAspect="Content" ObjectID="_1468075765" r:id="rId112">
            <o:LockedField>false</o:LockedField>
          </o:OLEObject>
        </w:object>
      </w:r>
      <w:r>
        <w:t xml:space="preserve">                        </w:t>
      </w:r>
      <w:r>
        <w:rPr>
          <w:rFonts w:hAnsi="宋体" w:cs="Times New Roman"/>
          <w:spacing w:val="-1"/>
        </w:rPr>
        <w:t>（B.1）</w:t>
      </w:r>
    </w:p>
    <w:p>
      <w:pPr>
        <w:pStyle w:val="15"/>
        <w:spacing w:before="0" w:line="360" w:lineRule="exact"/>
        <w:ind w:left="0" w:firstLine="420"/>
      </w:pPr>
      <w:r>
        <w:rPr>
          <w:rFonts w:hint="eastAsia"/>
        </w:rPr>
        <w:t>式中：</w:t>
      </w:r>
      <w:r>
        <w:rPr>
          <w:position w:val="-6"/>
        </w:rPr>
        <w:object>
          <v:shape id="_x0000_i1066" o:spt="75" type="#_x0000_t75" style="height:14.4pt;width:7.5pt;" o:ole="t" filled="f" o:preferrelative="t" stroked="f" coordsize="21600,21600">
            <v:path/>
            <v:fill on="f" focussize="0,0"/>
            <v:stroke on="f" joinstyle="miter"/>
            <v:imagedata r:id="rId115" o:title=""/>
            <o:lock v:ext="edit" aspectratio="t"/>
            <w10:wrap type="none"/>
            <w10:anchorlock/>
          </v:shape>
          <o:OLEObject Type="Embed" ProgID="Equation.DSMT4" ShapeID="_x0000_i1066" DrawAspect="Content" ObjectID="_1468075766" r:id="rId114">
            <o:LockedField>false</o:LockedField>
          </o:OLEObject>
        </w:object>
      </w:r>
      <w:r>
        <w:rPr>
          <w:rFonts w:hAnsi="宋体"/>
          <w:b/>
        </w:rPr>
        <w:t>——</w:t>
      </w:r>
      <w:r>
        <w:rPr>
          <w:rFonts w:hint="eastAsia"/>
        </w:rPr>
        <w:t>时间</w:t>
      </w:r>
      <w:r>
        <w:rPr>
          <w:rFonts w:ascii="Times New Roman" w:cs="Times New Roman"/>
          <w:position w:val="-10"/>
        </w:rPr>
        <w:object>
          <v:shape id="_x0000_i1067" o:spt="75" type="#_x0000_t75" style="height:14.4pt;width:28.8pt;" o:ole="t" filled="f" o:preferrelative="t" stroked="f" coordsize="21600,21600">
            <v:path/>
            <v:fill on="f" focussize="0,0"/>
            <v:stroke on="f" joinstyle="miter"/>
            <v:imagedata r:id="rId117" o:title=""/>
            <o:lock v:ext="edit" aspectratio="t"/>
            <w10:wrap type="none"/>
            <w10:anchorlock/>
          </v:shape>
          <o:OLEObject Type="Embed" ProgID="Equation.DSMT4" ShapeID="_x0000_i1067" DrawAspect="Content" ObjectID="_1468075767" r:id="rId116">
            <o:LockedField>false</o:LockedField>
          </o:OLEObject>
        </w:object>
      </w:r>
      <w:r>
        <w:rPr>
          <w:rFonts w:hint="eastAsia"/>
        </w:rPr>
        <w:t>；</w:t>
      </w:r>
    </w:p>
    <w:p>
      <w:pPr>
        <w:pStyle w:val="15"/>
        <w:spacing w:before="0" w:line="360" w:lineRule="exact"/>
        <w:ind w:left="0" w:firstLine="525" w:firstLineChars="250"/>
      </w:pPr>
      <w:r>
        <w:rPr>
          <w:position w:val="-12"/>
        </w:rPr>
        <w:object>
          <v:shape id="_x0000_i1068" o:spt="75" type="#_x0000_t75" style="height:14.4pt;width:14.4pt;" o:ole="t" filled="f" o:preferrelative="t" stroked="f" coordsize="21600,21600">
            <v:path/>
            <v:fill on="f" focussize="0,0"/>
            <v:stroke on="f" joinstyle="miter"/>
            <v:imagedata r:id="rId119" o:title=""/>
            <o:lock v:ext="edit" aspectratio="t"/>
            <w10:wrap type="none"/>
            <w10:anchorlock/>
          </v:shape>
          <o:OLEObject Type="Embed" ProgID="Equation.DSMT4" ShapeID="_x0000_i1068" DrawAspect="Content" ObjectID="_1468075768" r:id="rId118">
            <o:LockedField>false</o:LockedField>
          </o:OLEObject>
        </w:object>
      </w:r>
      <w:r>
        <w:rPr>
          <w:rFonts w:hAnsi="宋体"/>
          <w:b/>
        </w:rPr>
        <w:t>——</w:t>
      </w:r>
      <w:r>
        <w:rPr>
          <w:rFonts w:hint="eastAsia"/>
        </w:rPr>
        <w:t>火灾温度</w:t>
      </w:r>
      <w:r>
        <w:rPr>
          <w:rFonts w:ascii="Times New Roman" w:cs="Times New Roman"/>
          <w:position w:val="-10"/>
        </w:rPr>
        <w:object>
          <v:shape id="_x0000_i1069"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069" DrawAspect="Content" ObjectID="_1468075769" r:id="rId120">
            <o:LockedField>false</o:LockedField>
          </o:OLEObject>
        </w:object>
      </w:r>
      <w:r>
        <w:rPr>
          <w:rFonts w:hint="eastAsia"/>
        </w:rPr>
        <w:t>；</w:t>
      </w:r>
    </w:p>
    <w:p>
      <w:pPr>
        <w:pStyle w:val="15"/>
        <w:spacing w:before="0" w:line="360" w:lineRule="exact"/>
        <w:ind w:left="0" w:firstLine="525" w:firstLineChars="250"/>
        <w:rPr>
          <w:rFonts w:ascii="Times New Roman" w:cs="Times New Roman"/>
        </w:rPr>
      </w:pPr>
      <w:r>
        <w:rPr>
          <w:position w:val="-12"/>
        </w:rPr>
        <w:object>
          <v:shape id="_x0000_i1070" o:spt="75" type="#_x0000_t75" style="height:14.4pt;width:14.4pt;" o:ole="t" filled="f" o:preferrelative="t" stroked="f" coordsize="21600,21600">
            <v:path/>
            <v:fill on="f" focussize="0,0"/>
            <v:stroke on="f" joinstyle="miter"/>
            <v:imagedata r:id="rId123" o:title=""/>
            <o:lock v:ext="edit" aspectratio="t"/>
            <w10:wrap type="none"/>
            <w10:anchorlock/>
          </v:shape>
          <o:OLEObject Type="Embed" ProgID="Equation.DSMT4" ShapeID="_x0000_i1070" DrawAspect="Content" ObjectID="_1468075770" r:id="rId122">
            <o:LockedField>false</o:LockedField>
          </o:OLEObject>
        </w:object>
      </w:r>
      <w:r>
        <w:rPr>
          <w:rFonts w:hAnsi="宋体"/>
          <w:b/>
        </w:rPr>
        <w:t>——</w:t>
      </w:r>
      <w:r>
        <w:rPr>
          <w:rFonts w:hAnsi="宋体"/>
        </w:rPr>
        <w:t>初始环境温度，取</w:t>
      </w:r>
      <w:r>
        <w:rPr>
          <w:rFonts w:ascii="Times New Roman" w:cs="Times New Roman"/>
          <w:position w:val="-4"/>
        </w:rPr>
        <w:object>
          <v:shape id="_x0000_i1071" o:spt="75" type="#_x0000_t75" style="height:14.4pt;width:28.15pt;" o:ole="t" filled="f" o:preferrelative="t" stroked="f" coordsize="21600,21600">
            <v:path/>
            <v:fill on="f" focussize="0,0"/>
            <v:stroke on="f" joinstyle="miter"/>
            <v:imagedata r:id="rId125" o:title=""/>
            <o:lock v:ext="edit" aspectratio="t"/>
            <w10:wrap type="none"/>
            <w10:anchorlock/>
          </v:shape>
          <o:OLEObject Type="Embed" ProgID="Equation.DSMT4" ShapeID="_x0000_i1071" DrawAspect="Content" ObjectID="_1468075771" r:id="rId124">
            <o:LockedField>false</o:LockedField>
          </o:OLEObject>
        </w:object>
      </w:r>
      <w:r>
        <w:rPr>
          <w:rFonts w:ascii="Times New Roman" w:cs="Times New Roman"/>
        </w:rPr>
        <w:t>。</w:t>
      </w:r>
    </w:p>
    <w:p>
      <w:pPr>
        <w:pStyle w:val="4"/>
        <w:numPr>
          <w:ilvl w:val="0"/>
          <w:numId w:val="0"/>
        </w:numPr>
        <w:ind w:right="210" w:rightChars="0"/>
        <w:jc w:val="both"/>
      </w:pPr>
      <w:r>
        <w:rPr>
          <w:rFonts w:ascii="黑体" w:hAnsi="黑体" w:eastAsia="黑体"/>
        </w:rPr>
        <w:t>B.1.2</w:t>
      </w:r>
      <w:r>
        <w:rPr>
          <w:rFonts w:hint="eastAsia"/>
        </w:rPr>
        <w:t>　</w:t>
      </w:r>
      <w:r>
        <w:t>高温下材料的力学特性和热工参数应符合下列规定：</w:t>
      </w:r>
    </w:p>
    <w:p>
      <w:pPr>
        <w:ind w:firstLine="0" w:firstLineChars="0"/>
      </w:pPr>
      <w:r>
        <w:rPr>
          <w:rFonts w:ascii="黑体" w:hAnsi="黑体" w:eastAsia="黑体"/>
        </w:rPr>
        <w:t>B.1.2</w:t>
      </w:r>
      <w:r>
        <w:rPr>
          <w:rFonts w:hint="eastAsia" w:ascii="黑体" w:hAnsi="黑体" w:eastAsia="黑体"/>
        </w:rPr>
        <w:t>.1</w:t>
      </w:r>
      <w:r>
        <w:rPr>
          <w:rFonts w:hint="eastAsia"/>
        </w:rPr>
        <w:t>　</w:t>
      </w:r>
      <w:r>
        <w:t>高</w:t>
      </w:r>
      <w:r>
        <w:rPr>
          <w:rFonts w:hint="eastAsia"/>
        </w:rPr>
        <w:t>温下钢</w:t>
      </w:r>
      <w:r>
        <w:t>材的抗压强度设计值应按</w:t>
      </w:r>
      <w:r>
        <w:rPr>
          <w:rFonts w:hint="eastAsia"/>
        </w:rPr>
        <w:t>公式</w:t>
      </w:r>
      <w:r>
        <w:rPr>
          <w:rFonts w:hint="eastAsia"/>
          <w:lang w:val="zh-CN"/>
        </w:rPr>
        <w:t>（</w:t>
      </w:r>
      <w:r>
        <w:rPr>
          <w:rFonts w:hAnsi="宋体" w:cs="Times New Roman"/>
          <w:bCs/>
          <w:spacing w:val="-1"/>
        </w:rPr>
        <w:t>B.2</w:t>
      </w:r>
      <w:r>
        <w:rPr>
          <w:rFonts w:hint="eastAsia"/>
          <w:lang w:val="zh-CN"/>
        </w:rPr>
        <w:t>）</w:t>
      </w:r>
      <w:r>
        <w:t>计算：</w:t>
      </w:r>
    </w:p>
    <w:p>
      <w:pPr>
        <w:pStyle w:val="15"/>
        <w:spacing w:before="0"/>
        <w:ind w:left="0" w:firstLine="420"/>
        <w:jc w:val="right"/>
      </w:pPr>
      <w:r>
        <w:t xml:space="preserve">                           </w:t>
      </w:r>
      <w:r>
        <w:rPr>
          <w:position w:val="-10"/>
        </w:rPr>
        <w:object>
          <v:shape id="_x0000_i1072" o:spt="75" type="#_x0000_t75" style="height:28.15pt;width:172.15pt;" o:ole="t" filled="f" o:preferrelative="t" stroked="f" coordsize="21600,21600">
            <v:path/>
            <v:fill on="f" focussize="0,0"/>
            <v:stroke on="f" joinstyle="miter"/>
            <v:imagedata r:id="rId127" o:title=""/>
            <o:lock v:ext="edit" aspectratio="t"/>
            <w10:wrap type="none"/>
            <w10:anchorlock/>
          </v:shape>
          <o:OLEObject Type="Embed" ProgID="Equation.DSMT4" ShapeID="_x0000_i1072" DrawAspect="Content" ObjectID="_1468075772" r:id="rId126">
            <o:LockedField>false</o:LockedField>
          </o:OLEObject>
        </w:object>
      </w:r>
      <w:r>
        <w:t xml:space="preserve">              </w:t>
      </w:r>
      <w:r>
        <w:rPr>
          <w:rFonts w:hAnsi="宋体" w:cs="Times New Roman"/>
          <w:bCs/>
          <w:spacing w:val="-1"/>
          <w:kern w:val="2"/>
        </w:rPr>
        <w:t>（B.2）</w:t>
      </w:r>
    </w:p>
    <w:p>
      <w:pPr>
        <w:pStyle w:val="15"/>
        <w:spacing w:before="0" w:line="360" w:lineRule="exact"/>
        <w:ind w:left="0" w:firstLine="420"/>
      </w:pPr>
      <w:r>
        <w:rPr>
          <w:rFonts w:hint="eastAsia"/>
        </w:rPr>
        <w:t>式中：</w:t>
      </w:r>
      <w:r>
        <w:rPr>
          <w:position w:val="-10"/>
        </w:rPr>
        <w:object>
          <v:shape id="_x0000_i1073" o:spt="75" type="#_x0000_t75" style="height:14.4pt;width:14.4pt;" o:ole="t" filled="f" o:preferrelative="t" stroked="f" coordsize="21600,21600">
            <v:path/>
            <v:fill on="f" focussize="0,0"/>
            <v:stroke on="f" joinstyle="miter"/>
            <v:imagedata r:id="rId129" o:title=""/>
            <o:lock v:ext="edit" aspectratio="t"/>
            <w10:wrap type="none"/>
            <w10:anchorlock/>
          </v:shape>
          <o:OLEObject Type="Embed" ProgID="Equation.DSMT4" ShapeID="_x0000_i1073" DrawAspect="Content" ObjectID="_1468075773" r:id="rId128">
            <o:LockedField>false</o:LockedField>
          </o:OLEObject>
        </w:object>
      </w:r>
      <w:r>
        <w:rPr>
          <w:rFonts w:hAnsi="宋体"/>
          <w:b/>
        </w:rPr>
        <w:t>——</w:t>
      </w:r>
      <w:r>
        <w:t>常温下的钢材强度设计值</w:t>
      </w:r>
      <w:r>
        <w:rPr>
          <w:rFonts w:ascii="Times New Roman" w:cs="Times New Roman"/>
          <w:position w:val="-10"/>
        </w:rPr>
        <w:object>
          <v:shape id="_x0000_i1074" o:spt="75" type="#_x0000_t75" style="height:14.4pt;width:35.7pt;" o:ole="t" filled="f" o:preferrelative="t" stroked="f" coordsize="21600,21600">
            <v:path/>
            <v:fill on="f" focussize="0,0"/>
            <v:stroke on="f" joinstyle="miter"/>
            <v:imagedata r:id="rId131" o:title=""/>
            <o:lock v:ext="edit" aspectratio="t"/>
            <w10:wrap type="none"/>
            <w10:anchorlock/>
          </v:shape>
          <o:OLEObject Type="Embed" ProgID="Equation.DSMT4" ShapeID="_x0000_i1074" DrawAspect="Content" ObjectID="_1468075774" r:id="rId130">
            <o:LockedField>false</o:LockedField>
          </o:OLEObject>
        </w:object>
      </w:r>
      <w:r>
        <w:rPr>
          <w:rFonts w:hint="eastAsia"/>
        </w:rPr>
        <w:t>；</w:t>
      </w:r>
    </w:p>
    <w:p>
      <w:pPr>
        <w:pStyle w:val="15"/>
        <w:spacing w:before="0" w:line="360" w:lineRule="exact"/>
        <w:ind w:left="0" w:firstLine="630" w:firstLineChars="300"/>
      </w:pPr>
      <w:r>
        <w:rPr>
          <w:position w:val="-4"/>
        </w:rPr>
        <w:object>
          <v:shape id="_x0000_i1075" o:spt="75" type="#_x0000_t75" style="height:14.4pt;width:7.5pt;" o:ole="t" filled="f" o:preferrelative="t" stroked="f" coordsize="21600,21600">
            <v:path/>
            <v:fill on="f" focussize="0,0"/>
            <v:stroke on="f" joinstyle="miter"/>
            <v:imagedata r:id="rId133" o:title=""/>
            <o:lock v:ext="edit" aspectratio="t"/>
            <w10:wrap type="none"/>
            <w10:anchorlock/>
          </v:shape>
          <o:OLEObject Type="Embed" ProgID="Equation.DSMT4" ShapeID="_x0000_i1075" DrawAspect="Content" ObjectID="_1468075775" r:id="rId132">
            <o:LockedField>false</o:LockedField>
          </o:OLEObject>
        </w:object>
      </w:r>
      <w:r>
        <w:rPr>
          <w:rFonts w:hAnsi="宋体"/>
          <w:b/>
        </w:rPr>
        <w:t>——</w:t>
      </w:r>
      <w:r>
        <w:rPr>
          <w:rFonts w:hint="eastAsia"/>
        </w:rPr>
        <w:t>钢材的温度</w:t>
      </w:r>
      <w:r>
        <w:rPr>
          <w:rFonts w:ascii="Times New Roman" w:cs="Times New Roman"/>
          <w:position w:val="-10"/>
        </w:rPr>
        <w:object>
          <v:shape id="_x0000_i1076"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076" DrawAspect="Content" ObjectID="_1468075776" r:id="rId134">
            <o:LockedField>false</o:LockedField>
          </o:OLEObject>
        </w:object>
      </w:r>
      <w:r>
        <w:rPr>
          <w:rFonts w:hint="eastAsia"/>
        </w:rPr>
        <w:t>；</w:t>
      </w:r>
    </w:p>
    <w:p>
      <w:pPr>
        <w:pStyle w:val="15"/>
        <w:spacing w:before="0" w:line="360" w:lineRule="exact"/>
        <w:ind w:left="0" w:firstLine="630" w:firstLineChars="300"/>
      </w:pPr>
      <w:r>
        <w:rPr>
          <w:position w:val="-6"/>
        </w:rPr>
        <w:object>
          <v:shape id="_x0000_i1077" o:spt="75" type="#_x0000_t75" style="height:7.5pt;width:7.5pt;" o:ole="t" filled="f" o:preferrelative="t" stroked="f" coordsize="21600,21600">
            <v:path/>
            <v:fill on="f" focussize="0,0"/>
            <v:stroke on="f" joinstyle="miter"/>
            <v:imagedata r:id="rId136" o:title=""/>
            <o:lock v:ext="edit" aspectratio="t"/>
            <w10:wrap type="none"/>
            <w10:anchorlock/>
          </v:shape>
          <o:OLEObject Type="Embed" ProgID="Equation.DSMT4" ShapeID="_x0000_i1077" DrawAspect="Content" ObjectID="_1468075777" r:id="rId135">
            <o:LockedField>false</o:LockedField>
          </o:OLEObject>
        </w:object>
      </w:r>
      <w:r>
        <w:rPr>
          <w:rFonts w:hAnsi="宋体"/>
          <w:b/>
        </w:rPr>
        <w:t>——</w:t>
      </w:r>
      <w:r>
        <w:rPr>
          <w:rFonts w:hint="eastAsia" w:hAnsi="宋体"/>
        </w:rPr>
        <w:t>自然对数底</w:t>
      </w:r>
      <w:r>
        <w:rPr>
          <w:rFonts w:hAnsi="宋体"/>
        </w:rPr>
        <w:t>，</w:t>
      </w:r>
      <w:r>
        <w:rPr>
          <w:rFonts w:cs="Times New Roman"/>
          <w:position w:val="-6"/>
        </w:rPr>
        <w:object>
          <v:shape id="_x0000_i1078" o:spt="75" type="#_x0000_t75" style="height:14.4pt;width:57.6pt;" o:ole="t" filled="f" o:preferrelative="t" stroked="f" coordsize="21600,21600">
            <v:path/>
            <v:fill on="f" focussize="0,0"/>
            <v:stroke on="f" joinstyle="miter"/>
            <v:imagedata r:id="rId138" o:title=""/>
            <o:lock v:ext="edit" aspectratio="t"/>
            <w10:wrap type="none"/>
            <w10:anchorlock/>
          </v:shape>
          <o:OLEObject Type="Embed" ProgID="Equation.DSMT4" ShapeID="_x0000_i1078" DrawAspect="Content" ObjectID="_1468075778" r:id="rId137">
            <o:LockedField>false</o:LockedField>
          </o:OLEObject>
        </w:object>
      </w:r>
      <w:r>
        <w:rPr>
          <w:rFonts w:ascii="Times New Roman" w:cs="Times New Roman"/>
        </w:rPr>
        <w:t>。</w:t>
      </w:r>
    </w:p>
    <w:p>
      <w:pPr>
        <w:ind w:firstLine="0" w:firstLineChars="0"/>
      </w:pPr>
      <w:r>
        <w:rPr>
          <w:rFonts w:ascii="黑体" w:hAnsi="黑体" w:eastAsia="黑体"/>
        </w:rPr>
        <w:t>B.1.2</w:t>
      </w:r>
      <w:r>
        <w:rPr>
          <w:rFonts w:hint="eastAsia" w:ascii="黑体" w:hAnsi="黑体" w:eastAsia="黑体"/>
        </w:rPr>
        <w:t>.</w:t>
      </w:r>
      <w:r>
        <w:rPr>
          <w:rFonts w:ascii="黑体" w:hAnsi="黑体" w:eastAsia="黑体"/>
        </w:rPr>
        <w:t>2</w:t>
      </w:r>
      <w:r>
        <w:rPr>
          <w:rFonts w:hint="eastAsia"/>
        </w:rPr>
        <w:t>　</w:t>
      </w:r>
      <w:r>
        <w:t>高温下钢材的弹性模量应按</w:t>
      </w:r>
      <w:r>
        <w:rPr>
          <w:rFonts w:hint="eastAsia"/>
        </w:rPr>
        <w:t>公式</w:t>
      </w:r>
      <w:r>
        <w:rPr>
          <w:rFonts w:hint="eastAsia"/>
          <w:lang w:val="zh-CN"/>
        </w:rPr>
        <w:t>（</w:t>
      </w:r>
      <w:r>
        <w:rPr>
          <w:rFonts w:hAnsi="宋体" w:cs="Times New Roman"/>
          <w:bCs/>
          <w:spacing w:val="-1"/>
        </w:rPr>
        <w:t>B.3</w:t>
      </w:r>
      <w:r>
        <w:rPr>
          <w:rFonts w:hint="eastAsia"/>
          <w:lang w:val="zh-CN"/>
        </w:rPr>
        <w:t>）</w:t>
      </w:r>
      <w:r>
        <w:t>计算：</w:t>
      </w:r>
    </w:p>
    <w:p>
      <w:pPr>
        <w:pStyle w:val="15"/>
        <w:spacing w:before="0"/>
        <w:ind w:left="0" w:firstLine="420"/>
        <w:jc w:val="right"/>
      </w:pPr>
      <w:r>
        <w:rPr>
          <w:rFonts w:hint="eastAsia"/>
        </w:rPr>
        <w:t xml:space="preserve"> </w:t>
      </w:r>
      <w:r>
        <w:t xml:space="preserve">                          </w:t>
      </w:r>
      <w:r>
        <w:rPr>
          <w:position w:val="-12"/>
        </w:rPr>
        <w:object>
          <v:shape id="_x0000_i1079" o:spt="75" type="#_x0000_t75" style="height:28.8pt;width:158.4pt;" o:ole="t" filled="f" o:preferrelative="t" stroked="f" coordsize="21600,21600">
            <v:path/>
            <v:fill on="f" focussize="0,0"/>
            <v:stroke on="f" joinstyle="miter"/>
            <v:imagedata r:id="rId140" o:title=""/>
            <o:lock v:ext="edit" aspectratio="t"/>
            <w10:wrap type="none"/>
            <w10:anchorlock/>
          </v:shape>
          <o:OLEObject Type="Embed" ProgID="Equation.DSMT4" ShapeID="_x0000_i1079" DrawAspect="Content" ObjectID="_1468075779" r:id="rId139">
            <o:LockedField>false</o:LockedField>
          </o:OLEObject>
        </w:object>
      </w:r>
      <w:r>
        <w:t xml:space="preserve">                </w:t>
      </w:r>
      <w:r>
        <w:rPr>
          <w:rFonts w:hAnsi="宋体" w:cs="Times New Roman"/>
          <w:bCs/>
          <w:spacing w:val="-1"/>
          <w:kern w:val="2"/>
        </w:rPr>
        <w:t>（B.3）</w:t>
      </w:r>
    </w:p>
    <w:p>
      <w:pPr>
        <w:pStyle w:val="15"/>
        <w:spacing w:before="0" w:line="360" w:lineRule="exact"/>
        <w:ind w:left="0" w:firstLine="420"/>
      </w:pPr>
      <w:r>
        <w:rPr>
          <w:rFonts w:hint="eastAsia"/>
        </w:rPr>
        <w:t>式中：</w:t>
      </w:r>
      <w:r>
        <w:rPr>
          <w:position w:val="-12"/>
        </w:rPr>
        <w:object>
          <v:shape id="_x0000_i1080" o:spt="75" type="#_x0000_t75" style="height:14.4pt;width:14.4pt;" o:ole="t" filled="f" o:preferrelative="t" stroked="f" coordsize="21600,21600">
            <v:path/>
            <v:fill on="f" focussize="0,0"/>
            <v:stroke on="f" joinstyle="miter"/>
            <v:imagedata r:id="rId142" o:title=""/>
            <o:lock v:ext="edit" aspectratio="t"/>
            <w10:wrap type="none"/>
            <w10:anchorlock/>
          </v:shape>
          <o:OLEObject Type="Embed" ProgID="Equation.DSMT4" ShapeID="_x0000_i1080" DrawAspect="Content" ObjectID="_1468075780" r:id="rId141">
            <o:LockedField>false</o:LockedField>
          </o:OLEObject>
        </w:object>
      </w:r>
      <w:r>
        <w:rPr>
          <w:rFonts w:hAnsi="宋体"/>
          <w:b/>
        </w:rPr>
        <w:t>——</w:t>
      </w:r>
      <w:r>
        <w:t>常温下钢材的弹性模量</w:t>
      </w:r>
      <w:r>
        <w:rPr>
          <w:rFonts w:ascii="Times New Roman" w:cs="Times New Roman"/>
          <w:position w:val="-10"/>
        </w:rPr>
        <w:object>
          <v:shape id="_x0000_i1081" o:spt="75" type="#_x0000_t75" style="height:14.4pt;width:35.7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43">
            <o:LockedField>false</o:LockedField>
          </o:OLEObject>
        </w:object>
      </w:r>
      <w:r>
        <w:rPr>
          <w:rFonts w:hint="eastAsia"/>
        </w:rPr>
        <w:t>；</w:t>
      </w:r>
    </w:p>
    <w:p>
      <w:pPr>
        <w:pStyle w:val="15"/>
        <w:spacing w:before="0" w:line="360" w:lineRule="exact"/>
        <w:ind w:left="0" w:firstLine="630" w:firstLineChars="300"/>
      </w:pPr>
      <w:r>
        <w:rPr>
          <w:position w:val="-4"/>
        </w:rPr>
        <w:object>
          <v:shape id="_x0000_i1082" o:spt="75" type="#_x0000_t75" style="height:14.4pt;width:7.5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44">
            <o:LockedField>false</o:LockedField>
          </o:OLEObject>
        </w:object>
      </w:r>
      <w:r>
        <w:rPr>
          <w:rFonts w:hAnsi="宋体"/>
          <w:b/>
        </w:rPr>
        <w:t>——</w:t>
      </w:r>
      <w:r>
        <w:rPr>
          <w:rFonts w:hint="eastAsia"/>
        </w:rPr>
        <w:t>钢材的温度</w:t>
      </w:r>
      <w:r>
        <w:rPr>
          <w:rFonts w:ascii="Times New Roman" w:cs="Times New Roman"/>
          <w:position w:val="-10"/>
        </w:rPr>
        <w:object>
          <v:shape id="_x0000_i1083"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083" DrawAspect="Content" ObjectID="_1468075783" r:id="rId145">
            <o:LockedField>false</o:LockedField>
          </o:OLEObject>
        </w:object>
      </w:r>
      <w:r>
        <w:rPr>
          <w:rFonts w:hint="eastAsia"/>
        </w:rPr>
        <w:t>；</w:t>
      </w:r>
    </w:p>
    <w:p>
      <w:pPr>
        <w:ind w:firstLine="0" w:firstLineChars="0"/>
      </w:pPr>
      <w:r>
        <w:rPr>
          <w:rFonts w:ascii="黑体" w:hAnsi="黑体" w:eastAsia="黑体"/>
        </w:rPr>
        <w:t>B.1.2</w:t>
      </w:r>
      <w:r>
        <w:rPr>
          <w:rFonts w:hint="eastAsia" w:ascii="黑体" w:hAnsi="黑体" w:eastAsia="黑体"/>
        </w:rPr>
        <w:t>.</w:t>
      </w:r>
      <w:r>
        <w:rPr>
          <w:rFonts w:ascii="黑体" w:hAnsi="黑体" w:eastAsia="黑体"/>
        </w:rPr>
        <w:t>3</w:t>
      </w:r>
      <w:r>
        <w:rPr>
          <w:rFonts w:hint="eastAsia"/>
        </w:rPr>
        <w:t>　</w:t>
      </w:r>
      <w:r>
        <w:t>高温下混凝土的抗压强度设计值应按</w:t>
      </w:r>
      <w:r>
        <w:rPr>
          <w:rFonts w:hint="eastAsia"/>
        </w:rPr>
        <w:t>公式</w:t>
      </w:r>
      <w:r>
        <w:rPr>
          <w:rFonts w:hint="eastAsia"/>
          <w:lang w:val="zh-CN"/>
        </w:rPr>
        <w:t>（</w:t>
      </w:r>
      <w:r>
        <w:rPr>
          <w:rFonts w:hAnsi="宋体" w:cs="Times New Roman"/>
          <w:bCs/>
          <w:spacing w:val="-1"/>
        </w:rPr>
        <w:t>B.4</w:t>
      </w:r>
      <w:r>
        <w:rPr>
          <w:rFonts w:hint="eastAsia"/>
          <w:lang w:val="zh-CN"/>
        </w:rPr>
        <w:t>）</w:t>
      </w:r>
      <w:r>
        <w:t>计算：</w:t>
      </w:r>
    </w:p>
    <w:p>
      <w:pPr>
        <w:pStyle w:val="15"/>
        <w:spacing w:before="0"/>
        <w:ind w:left="0" w:firstLine="420"/>
        <w:jc w:val="right"/>
      </w:pPr>
      <w:r>
        <w:t xml:space="preserve">                          </w:t>
      </w:r>
      <w:r>
        <w:rPr>
          <w:position w:val="-12"/>
        </w:rPr>
        <w:object>
          <v:shape id="_x0000_i1084" o:spt="75" type="#_x0000_t75" style="height:28.8pt;width:172.8pt;" o:ole="t" filled="f" o:preferrelative="t" stroked="f" coordsize="21600,21600">
            <v:path/>
            <v:fill on="f" focussize="0,0"/>
            <v:stroke on="f" joinstyle="miter"/>
            <v:imagedata r:id="rId147" o:title=""/>
            <o:lock v:ext="edit" aspectratio="t"/>
            <w10:wrap type="none"/>
            <w10:anchorlock/>
          </v:shape>
          <o:OLEObject Type="Embed" ProgID="Equation.DSMT4" ShapeID="_x0000_i1084" DrawAspect="Content" ObjectID="_1468075784" r:id="rId146">
            <o:LockedField>false</o:LockedField>
          </o:OLEObject>
        </w:object>
      </w:r>
      <w:r>
        <w:t xml:space="preserve">               </w:t>
      </w:r>
      <w:r>
        <w:rPr>
          <w:rFonts w:hAnsi="宋体" w:cs="Times New Roman"/>
          <w:bCs/>
          <w:spacing w:val="-1"/>
          <w:kern w:val="2"/>
        </w:rPr>
        <w:t>（B.4）</w:t>
      </w:r>
    </w:p>
    <w:p>
      <w:pPr>
        <w:pStyle w:val="15"/>
        <w:spacing w:before="0" w:line="360" w:lineRule="exact"/>
        <w:ind w:left="0" w:firstLine="420"/>
      </w:pPr>
      <w:r>
        <w:rPr>
          <w:rFonts w:hint="eastAsia"/>
        </w:rPr>
        <w:t>式中：</w:t>
      </w:r>
      <w:r>
        <w:rPr>
          <w:position w:val="-12"/>
        </w:rPr>
        <w:object>
          <v:shape id="_x0000_i1085" o:spt="75" type="#_x0000_t75" style="height:14.4pt;width:14.4pt;" o:ole="t" filled="f" o:preferrelative="t" stroked="f" coordsize="21600,21600">
            <v:path/>
            <v:fill on="f" focussize="0,0"/>
            <v:stroke on="f" joinstyle="miter"/>
            <v:imagedata r:id="rId149" o:title=""/>
            <o:lock v:ext="edit" aspectratio="t"/>
            <w10:wrap type="none"/>
            <w10:anchorlock/>
          </v:shape>
          <o:OLEObject Type="Embed" ProgID="Equation.DSMT4" ShapeID="_x0000_i1085" DrawAspect="Content" ObjectID="_1468075785" r:id="rId148">
            <o:LockedField>false</o:LockedField>
          </o:OLEObject>
        </w:object>
      </w:r>
      <w:r>
        <w:rPr>
          <w:rFonts w:hAnsi="宋体"/>
          <w:b/>
        </w:rPr>
        <w:t>——</w:t>
      </w:r>
      <w:r>
        <w:t>常温下的</w:t>
      </w:r>
      <w:r>
        <w:rPr>
          <w:rFonts w:hint="eastAsia"/>
        </w:rPr>
        <w:t>混凝土</w:t>
      </w:r>
      <w:r>
        <w:t>强度设计值</w:t>
      </w:r>
      <w:r>
        <w:rPr>
          <w:rFonts w:ascii="Times New Roman" w:cs="Times New Roman"/>
          <w:position w:val="-10"/>
        </w:rPr>
        <w:object>
          <v:shape id="_x0000_i1086" o:spt="75" type="#_x0000_t75" style="height:14.4pt;width:35.7pt;" o:ole="t" filled="f" o:preferrelative="t" stroked="f" coordsize="21600,21600">
            <v:path/>
            <v:fill on="f" focussize="0,0"/>
            <v:stroke on="f" joinstyle="miter"/>
            <v:imagedata r:id="rId131" o:title=""/>
            <o:lock v:ext="edit" aspectratio="t"/>
            <w10:wrap type="none"/>
            <w10:anchorlock/>
          </v:shape>
          <o:OLEObject Type="Embed" ProgID="Equation.DSMT4" ShapeID="_x0000_i1086" DrawAspect="Content" ObjectID="_1468075786" r:id="rId150">
            <o:LockedField>false</o:LockedField>
          </o:OLEObject>
        </w:object>
      </w:r>
      <w:r>
        <w:rPr>
          <w:rFonts w:hint="eastAsia"/>
        </w:rPr>
        <w:t>；</w:t>
      </w:r>
    </w:p>
    <w:p>
      <w:pPr>
        <w:pStyle w:val="15"/>
        <w:spacing w:before="0" w:line="360" w:lineRule="exact"/>
        <w:ind w:left="0" w:firstLine="630" w:firstLineChars="300"/>
      </w:pPr>
      <w:r>
        <w:rPr>
          <w:position w:val="-4"/>
        </w:rPr>
        <w:object>
          <v:shape id="_x0000_i1087" o:spt="75" type="#_x0000_t75" style="height:14.4pt;width:7.5pt;" o:ole="t" filled="f" o:preferrelative="t" stroked="f" coordsize="21600,21600">
            <v:path/>
            <v:fill on="f" focussize="0,0"/>
            <v:stroke on="f" joinstyle="miter"/>
            <v:imagedata r:id="rId133" o:title=""/>
            <o:lock v:ext="edit" aspectratio="t"/>
            <w10:wrap type="none"/>
            <w10:anchorlock/>
          </v:shape>
          <o:OLEObject Type="Embed" ProgID="Equation.DSMT4" ShapeID="_x0000_i1087" DrawAspect="Content" ObjectID="_1468075787" r:id="rId151">
            <o:LockedField>false</o:LockedField>
          </o:OLEObject>
        </w:object>
      </w:r>
      <w:r>
        <w:rPr>
          <w:rFonts w:hAnsi="宋体"/>
          <w:b/>
        </w:rPr>
        <w:t>——</w:t>
      </w:r>
      <w:r>
        <w:rPr>
          <w:rFonts w:hint="eastAsia"/>
        </w:rPr>
        <w:t>混凝土的温度</w:t>
      </w:r>
      <w:r>
        <w:rPr>
          <w:rFonts w:ascii="Times New Roman" w:cs="Times New Roman"/>
          <w:position w:val="-10"/>
        </w:rPr>
        <w:object>
          <v:shape id="_x0000_i1088"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088" DrawAspect="Content" ObjectID="_1468075788" r:id="rId152">
            <o:LockedField>false</o:LockedField>
          </o:OLEObject>
        </w:object>
      </w:r>
      <w:r>
        <w:rPr>
          <w:rFonts w:hint="eastAsia"/>
        </w:rPr>
        <w:t>；</w:t>
      </w:r>
    </w:p>
    <w:p>
      <w:pPr>
        <w:ind w:firstLine="0" w:firstLineChars="0"/>
      </w:pPr>
      <w:r>
        <w:rPr>
          <w:rFonts w:ascii="黑体" w:hAnsi="黑体" w:eastAsia="黑体"/>
        </w:rPr>
        <w:t>B.1.2</w:t>
      </w:r>
      <w:r>
        <w:rPr>
          <w:rFonts w:hint="eastAsia" w:ascii="黑体" w:hAnsi="黑体" w:eastAsia="黑体"/>
        </w:rPr>
        <w:t>.</w:t>
      </w:r>
      <w:r>
        <w:rPr>
          <w:rFonts w:ascii="黑体" w:hAnsi="黑体" w:eastAsia="黑体"/>
        </w:rPr>
        <w:t>4</w:t>
      </w:r>
      <w:r>
        <w:rPr>
          <w:rFonts w:hint="eastAsia"/>
        </w:rPr>
        <w:t>　</w:t>
      </w:r>
      <w:r>
        <w:t>高温下混凝土弹性模量应按</w:t>
      </w:r>
      <w:r>
        <w:rPr>
          <w:rFonts w:hint="eastAsia"/>
        </w:rPr>
        <w:t>公式</w:t>
      </w:r>
      <w:r>
        <w:rPr>
          <w:rFonts w:hint="eastAsia"/>
          <w:lang w:val="zh-CN"/>
        </w:rPr>
        <w:t>（</w:t>
      </w:r>
      <w:r>
        <w:rPr>
          <w:rFonts w:hAnsi="宋体" w:cs="Times New Roman"/>
          <w:bCs/>
          <w:spacing w:val="-1"/>
        </w:rPr>
        <w:t>B.5</w:t>
      </w:r>
      <w:r>
        <w:rPr>
          <w:rFonts w:hint="eastAsia"/>
          <w:lang w:val="zh-CN"/>
        </w:rPr>
        <w:t>）</w:t>
      </w:r>
      <w:r>
        <w:t>计算：</w:t>
      </w:r>
    </w:p>
    <w:p>
      <w:pPr>
        <w:pStyle w:val="15"/>
        <w:spacing w:before="0"/>
        <w:ind w:left="0" w:firstLine="630" w:firstLineChars="300"/>
        <w:jc w:val="right"/>
      </w:pPr>
      <w:r>
        <w:t xml:space="preserve">                        </w:t>
      </w:r>
      <w:r>
        <w:rPr>
          <w:position w:val="-12"/>
        </w:rPr>
        <w:object>
          <v:shape id="_x0000_i1089" o:spt="75" type="#_x0000_t75" style="height:28.8pt;width:158.4pt;" o:ole="t" filled="f" o:preferrelative="t" stroked="f" coordsize="21600,21600">
            <v:path/>
            <v:fill on="f" focussize="0,0"/>
            <v:stroke on="f" joinstyle="miter"/>
            <v:imagedata r:id="rId154" o:title=""/>
            <o:lock v:ext="edit" aspectratio="t"/>
            <w10:wrap type="none"/>
            <w10:anchorlock/>
          </v:shape>
          <o:OLEObject Type="Embed" ProgID="Equation.DSMT4" ShapeID="_x0000_i1089" DrawAspect="Content" ObjectID="_1468075789" r:id="rId153">
            <o:LockedField>false</o:LockedField>
          </o:OLEObject>
        </w:object>
      </w:r>
      <w:r>
        <w:t xml:space="preserve">                 </w:t>
      </w:r>
      <w:r>
        <w:rPr>
          <w:rFonts w:hAnsi="宋体" w:cs="Times New Roman"/>
          <w:bCs/>
          <w:spacing w:val="-1"/>
          <w:kern w:val="2"/>
        </w:rPr>
        <w:t>（B.5）</w:t>
      </w:r>
    </w:p>
    <w:p>
      <w:pPr>
        <w:pStyle w:val="15"/>
        <w:spacing w:before="0" w:line="360" w:lineRule="exact"/>
        <w:ind w:left="0" w:firstLine="420"/>
      </w:pPr>
      <w:r>
        <w:rPr>
          <w:rFonts w:hint="eastAsia"/>
        </w:rPr>
        <w:t>式中：</w:t>
      </w:r>
      <w:r>
        <w:rPr>
          <w:position w:val="-12"/>
        </w:rPr>
        <w:object>
          <v:shape id="_x0000_i1090" o:spt="75" type="#_x0000_t75" style="height:14.4pt;width:14.4pt;" o:ole="t" filled="f" o:preferrelative="t" stroked="f" coordsize="21600,21600">
            <v:path/>
            <v:fill on="f" focussize="0,0"/>
            <v:stroke on="f" joinstyle="miter"/>
            <v:imagedata r:id="rId156" o:title=""/>
            <o:lock v:ext="edit" aspectratio="t"/>
            <w10:wrap type="none"/>
            <w10:anchorlock/>
          </v:shape>
          <o:OLEObject Type="Embed" ProgID="Equation.DSMT4" ShapeID="_x0000_i1090" DrawAspect="Content" ObjectID="_1468075790" r:id="rId155">
            <o:LockedField>false</o:LockedField>
          </o:OLEObject>
        </w:object>
      </w:r>
      <w:r>
        <w:rPr>
          <w:rFonts w:hAnsi="宋体"/>
          <w:b/>
        </w:rPr>
        <w:t>——</w:t>
      </w:r>
      <w:r>
        <w:t>常温下</w:t>
      </w:r>
      <w:r>
        <w:rPr>
          <w:rFonts w:hint="eastAsia"/>
        </w:rPr>
        <w:t>混凝土</w:t>
      </w:r>
      <w:r>
        <w:t>的弹性模量</w:t>
      </w:r>
      <w:r>
        <w:rPr>
          <w:rFonts w:ascii="Times New Roman" w:cs="Times New Roman"/>
          <w:position w:val="-10"/>
        </w:rPr>
        <w:object>
          <v:shape id="_x0000_i1091" o:spt="75" type="#_x0000_t75" style="height:14.4pt;width:35.7pt;" o:ole="t" filled="f" o:preferrelative="t" stroked="f" coordsize="21600,21600">
            <v:path/>
            <v:fill on="f" focussize="0,0"/>
            <v:stroke on="f" joinstyle="miter"/>
            <v:imagedata r:id="rId131" o:title=""/>
            <o:lock v:ext="edit" aspectratio="t"/>
            <w10:wrap type="none"/>
            <w10:anchorlock/>
          </v:shape>
          <o:OLEObject Type="Embed" ProgID="Equation.DSMT4" ShapeID="_x0000_i1091" DrawAspect="Content" ObjectID="_1468075791" r:id="rId157">
            <o:LockedField>false</o:LockedField>
          </o:OLEObject>
        </w:object>
      </w:r>
      <w:r>
        <w:rPr>
          <w:rFonts w:hint="eastAsia"/>
        </w:rPr>
        <w:t>；</w:t>
      </w:r>
    </w:p>
    <w:p>
      <w:pPr>
        <w:spacing w:line="360" w:lineRule="exact"/>
        <w:ind w:firstLine="630" w:firstLineChars="300"/>
      </w:pPr>
      <w:r>
        <w:rPr>
          <w:position w:val="-4"/>
        </w:rPr>
        <w:object>
          <v:shape id="_x0000_i1092" o:spt="75" type="#_x0000_t75" style="height:14.4pt;width:7.5pt;" o:ole="t" filled="f" o:preferrelative="t" stroked="f" coordsize="21600,21600">
            <v:path/>
            <v:fill on="f" focussize="0,0"/>
            <v:stroke on="f" joinstyle="miter"/>
            <v:imagedata r:id="rId133" o:title=""/>
            <o:lock v:ext="edit" aspectratio="t"/>
            <w10:wrap type="none"/>
            <w10:anchorlock/>
          </v:shape>
          <o:OLEObject Type="Embed" ProgID="Equation.DSMT4" ShapeID="_x0000_i1092" DrawAspect="Content" ObjectID="_1468075792" r:id="rId158">
            <o:LockedField>false</o:LockedField>
          </o:OLEObject>
        </w:object>
      </w:r>
      <w:r>
        <w:rPr>
          <w:rFonts w:hAnsi="宋体"/>
          <w:b/>
        </w:rPr>
        <w:t>——</w:t>
      </w:r>
      <w:r>
        <w:rPr>
          <w:rFonts w:hint="eastAsia"/>
        </w:rPr>
        <w:t>混凝土的温度</w:t>
      </w:r>
      <w:r>
        <w:rPr>
          <w:rFonts w:cs="Times New Roman"/>
          <w:position w:val="-10"/>
        </w:rPr>
        <w:object>
          <v:shape id="_x0000_i1093"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093" DrawAspect="Content" ObjectID="_1468075793" r:id="rId159">
            <o:LockedField>false</o:LockedField>
          </o:OLEObject>
        </w:object>
      </w:r>
      <w:r>
        <w:rPr>
          <w:rFonts w:hint="eastAsia"/>
        </w:rPr>
        <w:t>；</w:t>
      </w:r>
    </w:p>
    <w:p>
      <w:pPr>
        <w:ind w:firstLine="0" w:firstLineChars="0"/>
      </w:pPr>
      <w:r>
        <w:rPr>
          <w:rFonts w:ascii="黑体" w:hAnsi="黑体" w:eastAsia="黑体"/>
        </w:rPr>
        <w:t>B.1.2</w:t>
      </w:r>
      <w:r>
        <w:rPr>
          <w:rFonts w:hint="eastAsia" w:ascii="黑体" w:hAnsi="黑体" w:eastAsia="黑体"/>
        </w:rPr>
        <w:t>.</w:t>
      </w:r>
      <w:r>
        <w:rPr>
          <w:rFonts w:ascii="黑体" w:hAnsi="黑体" w:eastAsia="黑体"/>
        </w:rPr>
        <w:t>5</w:t>
      </w:r>
      <w:r>
        <w:rPr>
          <w:rFonts w:hint="eastAsia"/>
        </w:rPr>
        <w:t>　</w:t>
      </w:r>
      <w:r>
        <w:t>钢管的热工参数取值应符合下列规定：</w:t>
      </w:r>
    </w:p>
    <w:p>
      <w:pPr>
        <w:pStyle w:val="75"/>
        <w:numPr>
          <w:ilvl w:val="0"/>
          <w:numId w:val="38"/>
        </w:numPr>
        <w:ind w:left="426" w:firstLine="420" w:firstLineChars="200"/>
      </w:pPr>
      <w:r>
        <w:t>钢材的密度：</w:t>
      </w:r>
      <w:r>
        <w:rPr>
          <w:position w:val="-12"/>
        </w:rPr>
        <w:object>
          <v:shape id="_x0000_i1094" o:spt="75" type="#_x0000_t75" style="height:21.9pt;width:79.5pt;" o:ole="t" filled="f" o:preferrelative="t" stroked="f" coordsize="21600,21600">
            <v:path/>
            <v:fill on="f" focussize="0,0"/>
            <v:stroke on="f" joinstyle="miter"/>
            <v:imagedata r:id="rId161" o:title=""/>
            <o:lock v:ext="edit" aspectratio="t"/>
            <w10:wrap type="none"/>
            <w10:anchorlock/>
          </v:shape>
          <o:OLEObject Type="Embed" ProgID="Equation.DSMT4" ShapeID="_x0000_i1094" DrawAspect="Content" ObjectID="_1468075794" r:id="rId160">
            <o:LockedField>false</o:LockedField>
          </o:OLEObject>
        </w:object>
      </w:r>
    </w:p>
    <w:p>
      <w:pPr>
        <w:pStyle w:val="75"/>
        <w:numPr>
          <w:ilvl w:val="0"/>
          <w:numId w:val="38"/>
        </w:numPr>
        <w:ind w:left="426" w:firstLine="420" w:firstLineChars="200"/>
      </w:pPr>
      <w:r>
        <w:t>钢材导热系数应按</w:t>
      </w:r>
      <w:r>
        <w:rPr>
          <w:rFonts w:hint="eastAsia"/>
        </w:rPr>
        <w:t>公式</w:t>
      </w:r>
      <w:r>
        <w:rPr>
          <w:rFonts w:hint="eastAsia"/>
          <w:lang w:val="zh-CN"/>
        </w:rPr>
        <w:t>（</w:t>
      </w:r>
      <w:r>
        <w:rPr>
          <w:rFonts w:hAnsi="宋体"/>
          <w:bCs/>
          <w:spacing w:val="-1"/>
        </w:rPr>
        <w:t>B.6</w:t>
      </w:r>
      <w:r>
        <w:rPr>
          <w:rFonts w:hint="eastAsia"/>
          <w:lang w:val="zh-CN"/>
        </w:rPr>
        <w:t>）</w:t>
      </w:r>
      <w:r>
        <w:t>计算：</w:t>
      </w:r>
    </w:p>
    <w:p>
      <w:pPr>
        <w:spacing w:line="240" w:lineRule="auto"/>
        <w:ind w:left="426" w:firstLine="420"/>
        <w:jc w:val="right"/>
      </w:pPr>
      <w:r>
        <w:t xml:space="preserve">                    </w:t>
      </w:r>
      <w:r>
        <w:rPr>
          <w:position w:val="-30"/>
        </w:rPr>
        <w:object>
          <v:shape id="_x0000_i1095" o:spt="75" type="#_x0000_t75" style="height:35.7pt;width:237.9pt;" o:ole="t" filled="f" o:preferrelative="t" stroked="f" coordsize="21600,21600">
            <v:path/>
            <v:fill on="f" focussize="0,0"/>
            <v:stroke on="f" joinstyle="miter"/>
            <v:imagedata r:id="rId163" o:title=""/>
            <o:lock v:ext="edit" aspectratio="t"/>
            <w10:wrap type="none"/>
            <w10:anchorlock/>
          </v:shape>
          <o:OLEObject Type="Embed" ProgID="Equation.DSMT4" ShapeID="_x0000_i1095" DrawAspect="Content" ObjectID="_1468075795" r:id="rId162">
            <o:LockedField>false</o:LockedField>
          </o:OLEObject>
        </w:object>
      </w:r>
      <w:r>
        <w:t xml:space="preserve">      </w:t>
      </w:r>
      <w:r>
        <w:rPr>
          <w:rFonts w:ascii="宋体" w:hAnsi="宋体" w:cs="Times New Roman"/>
          <w:bCs/>
          <w:spacing w:val="-1"/>
          <w:szCs w:val="21"/>
        </w:rPr>
        <w:t>（B.6）</w:t>
      </w:r>
    </w:p>
    <w:p>
      <w:pPr>
        <w:pStyle w:val="75"/>
        <w:numPr>
          <w:ilvl w:val="0"/>
          <w:numId w:val="38"/>
        </w:numPr>
        <w:ind w:left="426" w:firstLine="420" w:firstLineChars="200"/>
      </w:pPr>
      <w:r>
        <w:t>钢材的比热容应按</w:t>
      </w:r>
      <w:r>
        <w:rPr>
          <w:rFonts w:hint="eastAsia"/>
        </w:rPr>
        <w:t>公式</w:t>
      </w:r>
      <w:r>
        <w:rPr>
          <w:rFonts w:hint="eastAsia"/>
          <w:lang w:val="zh-CN"/>
        </w:rPr>
        <w:t>（</w:t>
      </w:r>
      <w:r>
        <w:rPr>
          <w:rFonts w:hAnsi="宋体"/>
          <w:bCs/>
          <w:spacing w:val="-1"/>
        </w:rPr>
        <w:t>B.7</w:t>
      </w:r>
      <w:r>
        <w:rPr>
          <w:rFonts w:hint="eastAsia"/>
          <w:lang w:val="zh-CN"/>
        </w:rPr>
        <w:t>）</w:t>
      </w:r>
      <w:r>
        <w:t>计算：</w:t>
      </w:r>
    </w:p>
    <w:p>
      <w:pPr>
        <w:spacing w:line="240" w:lineRule="auto"/>
        <w:ind w:left="426" w:right="-1" w:firstLine="420"/>
        <w:jc w:val="right"/>
      </w:pPr>
      <w:r>
        <w:rPr>
          <w:position w:val="-66"/>
        </w:rPr>
        <w:object>
          <v:shape id="_x0000_i1096" o:spt="75" type="#_x0000_t75" style="height:72pt;width:295.5pt;" o:ole="t" filled="f" o:preferrelative="t" stroked="f" coordsize="21600,21600">
            <v:path/>
            <v:fill on="f" focussize="0,0"/>
            <v:stroke on="f" joinstyle="miter"/>
            <v:imagedata r:id="rId165" o:title=""/>
            <o:lock v:ext="edit" aspectratio="t"/>
            <w10:wrap type="none"/>
            <w10:anchorlock/>
          </v:shape>
          <o:OLEObject Type="Embed" ProgID="Equation.DSMT4" ShapeID="_x0000_i1096" DrawAspect="Content" ObjectID="_1468075796" r:id="rId164">
            <o:LockedField>false</o:LockedField>
          </o:OLEObject>
        </w:object>
      </w:r>
      <w:r>
        <w:t xml:space="preserve">      </w:t>
      </w:r>
      <w:r>
        <w:rPr>
          <w:rFonts w:ascii="宋体" w:hAnsi="宋体" w:cs="Times New Roman"/>
          <w:bCs/>
          <w:spacing w:val="-1"/>
          <w:szCs w:val="21"/>
        </w:rPr>
        <w:t>（B.7）</w:t>
      </w:r>
    </w:p>
    <w:p>
      <w:pPr>
        <w:pStyle w:val="75"/>
        <w:numPr>
          <w:ilvl w:val="0"/>
          <w:numId w:val="38"/>
        </w:numPr>
        <w:ind w:left="426" w:firstLine="420" w:firstLineChars="200"/>
      </w:pPr>
      <w:r>
        <w:t>钢材的热膨胀系数应按</w:t>
      </w:r>
      <w:r>
        <w:rPr>
          <w:rFonts w:hint="eastAsia"/>
        </w:rPr>
        <w:t>公式</w:t>
      </w:r>
      <w:r>
        <w:rPr>
          <w:rFonts w:hint="eastAsia"/>
          <w:lang w:val="zh-CN"/>
        </w:rPr>
        <w:t>（</w:t>
      </w:r>
      <w:r>
        <w:rPr>
          <w:rFonts w:hAnsi="宋体"/>
          <w:bCs/>
          <w:spacing w:val="-1"/>
        </w:rPr>
        <w:t>B.8</w:t>
      </w:r>
      <w:r>
        <w:rPr>
          <w:rFonts w:hint="eastAsia"/>
          <w:lang w:val="zh-CN"/>
        </w:rPr>
        <w:t>）</w:t>
      </w:r>
      <w:r>
        <w:t>计算：</w:t>
      </w:r>
    </w:p>
    <w:p>
      <w:pPr>
        <w:spacing w:line="240" w:lineRule="auto"/>
        <w:ind w:left="426" w:right="-1" w:firstLine="420"/>
        <w:jc w:val="right"/>
      </w:pPr>
      <w:r>
        <w:rPr>
          <w:position w:val="-34"/>
        </w:rPr>
        <w:object>
          <v:shape id="_x0000_i1097" o:spt="75" type="#_x0000_t75" style="height:43.85pt;width:266.1pt;" o:ole="t" filled="f" o:preferrelative="t" stroked="f" coordsize="21600,21600">
            <v:path/>
            <v:fill on="f" focussize="0,0"/>
            <v:stroke on="f" joinstyle="miter"/>
            <v:imagedata r:id="rId167" o:title=""/>
            <o:lock v:ext="edit" aspectratio="t"/>
            <w10:wrap type="none"/>
            <w10:anchorlock/>
          </v:shape>
          <o:OLEObject Type="Embed" ProgID="Equation.DSMT4" ShapeID="_x0000_i1097" DrawAspect="Content" ObjectID="_1468075797" r:id="rId166">
            <o:LockedField>false</o:LockedField>
          </o:OLEObject>
        </w:object>
      </w:r>
      <w:r>
        <w:t xml:space="preserve">       </w:t>
      </w:r>
      <w:r>
        <w:rPr>
          <w:rFonts w:ascii="宋体" w:hAnsi="宋体" w:cs="Times New Roman"/>
          <w:bCs/>
          <w:spacing w:val="-1"/>
          <w:szCs w:val="21"/>
        </w:rPr>
        <w:t>（B.8）</w:t>
      </w:r>
    </w:p>
    <w:p>
      <w:pPr>
        <w:ind w:firstLine="0" w:firstLineChars="0"/>
      </w:pPr>
      <w:bookmarkStart w:id="256" w:name="_Toc8458"/>
      <w:r>
        <w:rPr>
          <w:rFonts w:ascii="黑体" w:hAnsi="黑体" w:eastAsia="黑体"/>
        </w:rPr>
        <w:t>B.1.2</w:t>
      </w:r>
      <w:r>
        <w:rPr>
          <w:rFonts w:hint="eastAsia" w:ascii="黑体" w:hAnsi="黑体" w:eastAsia="黑体"/>
        </w:rPr>
        <w:t>.</w:t>
      </w:r>
      <w:r>
        <w:rPr>
          <w:rFonts w:ascii="黑体" w:hAnsi="黑体" w:eastAsia="黑体"/>
        </w:rPr>
        <w:t>6</w:t>
      </w:r>
      <w:r>
        <w:rPr>
          <w:rFonts w:hint="eastAsia"/>
        </w:rPr>
        <w:t>　</w:t>
      </w:r>
      <w:r>
        <w:t>混凝土的热工参数取值应符合</w:t>
      </w:r>
      <w:r>
        <w:rPr>
          <w:rFonts w:hint="eastAsia"/>
        </w:rPr>
        <w:t>公式</w:t>
      </w:r>
      <w:r>
        <w:rPr>
          <w:rFonts w:hint="eastAsia"/>
          <w:lang w:val="zh-CN"/>
        </w:rPr>
        <w:t>（</w:t>
      </w:r>
      <w:r>
        <w:rPr>
          <w:rFonts w:ascii="宋体" w:hAnsi="宋体" w:cs="Times New Roman"/>
          <w:bCs/>
          <w:spacing w:val="-1"/>
          <w:szCs w:val="21"/>
        </w:rPr>
        <w:t>B.9</w:t>
      </w:r>
      <w:r>
        <w:rPr>
          <w:rFonts w:hint="eastAsia"/>
          <w:lang w:val="zh-CN"/>
        </w:rPr>
        <w:t>）-（</w:t>
      </w:r>
      <w:r>
        <w:rPr>
          <w:rFonts w:ascii="宋体" w:hAnsi="宋体"/>
          <w:bCs/>
          <w:spacing w:val="-1"/>
          <w:szCs w:val="21"/>
        </w:rPr>
        <w:t>B.11</w:t>
      </w:r>
      <w:r>
        <w:rPr>
          <w:rFonts w:hint="eastAsia"/>
          <w:lang w:val="zh-CN"/>
        </w:rPr>
        <w:t>）</w:t>
      </w:r>
      <w:r>
        <w:t>规定：</w:t>
      </w:r>
      <w:bookmarkEnd w:id="256"/>
    </w:p>
    <w:p>
      <w:pPr>
        <w:pStyle w:val="75"/>
        <w:numPr>
          <w:ilvl w:val="0"/>
          <w:numId w:val="39"/>
        </w:numPr>
        <w:ind w:left="426" w:firstLine="360"/>
      </w:pPr>
      <w:r>
        <w:rPr>
          <w:rFonts w:hint="eastAsia"/>
        </w:rPr>
        <w:t>混凝土</w:t>
      </w:r>
      <w:r>
        <w:t>的密度：</w:t>
      </w:r>
      <w:r>
        <w:rPr>
          <w:position w:val="-12"/>
        </w:rPr>
        <w:object>
          <v:shape id="_x0000_i1098" o:spt="75" type="#_x0000_t75" style="height:21.9pt;width:79.5pt;" o:ole="t" filled="f" o:preferrelative="t" stroked="f" coordsize="21600,21600">
            <v:path/>
            <v:fill on="f" focussize="0,0"/>
            <v:stroke on="f" joinstyle="miter"/>
            <v:imagedata r:id="rId169" o:title=""/>
            <o:lock v:ext="edit" aspectratio="t"/>
            <w10:wrap type="none"/>
            <w10:anchorlock/>
          </v:shape>
          <o:OLEObject Type="Embed" ProgID="Equation.DSMT4" ShapeID="_x0000_i1098" DrawAspect="Content" ObjectID="_1468075798" r:id="rId168">
            <o:LockedField>false</o:LockedField>
          </o:OLEObject>
        </w:object>
      </w:r>
    </w:p>
    <w:p>
      <w:pPr>
        <w:pStyle w:val="75"/>
        <w:numPr>
          <w:ilvl w:val="0"/>
          <w:numId w:val="39"/>
        </w:numPr>
        <w:ind w:left="426" w:firstLine="360"/>
      </w:pPr>
      <w:r>
        <w:rPr>
          <w:rFonts w:hint="eastAsia"/>
        </w:rPr>
        <w:t>混凝土的</w:t>
      </w:r>
      <w:r>
        <w:t>导热系数：</w:t>
      </w:r>
    </w:p>
    <w:p>
      <w:pPr>
        <w:spacing w:line="240" w:lineRule="auto"/>
        <w:ind w:left="426" w:right="-1" w:firstLine="0" w:firstLineChars="0"/>
        <w:jc w:val="right"/>
      </w:pPr>
      <w:r>
        <w:rPr>
          <w:position w:val="-30"/>
        </w:rPr>
        <w:object>
          <v:shape id="_x0000_i1099" o:spt="75" type="#_x0000_t75" style="height:35.7pt;width:258.55pt;" o:ole="t" filled="f" o:preferrelative="t" stroked="f" coordsize="21600,21600">
            <v:path/>
            <v:fill on="f" focussize="0,0"/>
            <v:stroke on="f" joinstyle="miter"/>
            <v:imagedata r:id="rId171" o:title=""/>
            <o:lock v:ext="edit" aspectratio="t"/>
            <w10:wrap type="none"/>
            <w10:anchorlock/>
          </v:shape>
          <o:OLEObject Type="Embed" ProgID="Equation.DSMT4" ShapeID="_x0000_i1099" DrawAspect="Content" ObjectID="_1468075799" r:id="rId170">
            <o:LockedField>false</o:LockedField>
          </o:OLEObject>
        </w:object>
      </w:r>
      <w:r>
        <w:t xml:space="preserve">         </w:t>
      </w:r>
      <w:r>
        <w:rPr>
          <w:rFonts w:ascii="宋体" w:hAnsi="宋体" w:cs="Times New Roman"/>
          <w:bCs/>
          <w:spacing w:val="-1"/>
          <w:szCs w:val="21"/>
        </w:rPr>
        <w:t>（B.9）</w:t>
      </w:r>
    </w:p>
    <w:p>
      <w:pPr>
        <w:pStyle w:val="75"/>
        <w:numPr>
          <w:ilvl w:val="0"/>
          <w:numId w:val="39"/>
        </w:numPr>
        <w:ind w:left="426" w:firstLine="360"/>
      </w:pPr>
      <w:r>
        <w:rPr>
          <w:rFonts w:hint="eastAsia"/>
        </w:rPr>
        <w:t>混凝土</w:t>
      </w:r>
      <w:r>
        <w:t>的比热容：</w:t>
      </w:r>
    </w:p>
    <w:p>
      <w:pPr>
        <w:spacing w:line="240" w:lineRule="auto"/>
        <w:ind w:left="426" w:right="-1" w:firstLine="0" w:firstLineChars="0"/>
        <w:jc w:val="right"/>
      </w:pPr>
      <w:r>
        <w:rPr>
          <w:position w:val="-138"/>
        </w:rPr>
        <w:object>
          <v:shape id="_x0000_i1100" o:spt="75" type="#_x0000_t75" style="height:144pt;width:302.4pt;" o:ole="t" filled="f" o:preferrelative="t" stroked="f" coordsize="21600,21600">
            <v:path/>
            <v:fill on="f" focussize="0,0"/>
            <v:stroke on="f" joinstyle="miter"/>
            <v:imagedata r:id="rId173" o:title=""/>
            <o:lock v:ext="edit" aspectratio="t"/>
            <w10:wrap type="none"/>
            <w10:anchorlock/>
          </v:shape>
          <o:OLEObject Type="Embed" ProgID="Equation.DSMT4" ShapeID="_x0000_i1100" DrawAspect="Content" ObjectID="_1468075800" r:id="rId172">
            <o:LockedField>false</o:LockedField>
          </o:OLEObject>
        </w:object>
      </w:r>
      <w:r>
        <w:t xml:space="preserve">    </w:t>
      </w:r>
      <w:r>
        <w:rPr>
          <w:rFonts w:ascii="宋体" w:hAnsi="宋体" w:cs="Times New Roman"/>
          <w:bCs/>
          <w:spacing w:val="-1"/>
          <w:szCs w:val="21"/>
        </w:rPr>
        <w:t>（B.10）</w:t>
      </w:r>
    </w:p>
    <w:p>
      <w:pPr>
        <w:pStyle w:val="75"/>
        <w:numPr>
          <w:ilvl w:val="0"/>
          <w:numId w:val="39"/>
        </w:numPr>
        <w:ind w:left="426" w:firstLine="424" w:firstLineChars="202"/>
      </w:pPr>
      <w:r>
        <w:t>混凝土的热膨胀系数：</w:t>
      </w:r>
    </w:p>
    <w:p>
      <w:pPr>
        <w:pStyle w:val="75"/>
        <w:ind w:left="426" w:right="-1" w:firstLine="2310" w:firstLineChars="1100"/>
        <w:jc w:val="right"/>
      </w:pPr>
      <w:r>
        <w:rPr>
          <w:position w:val="-12"/>
        </w:rPr>
        <w:object>
          <v:shape id="_x0000_i1101" o:spt="75" type="#_x0000_t75" style="height:21.9pt;width:172.8pt;" o:ole="t" filled="f" o:preferrelative="t" stroked="f" coordsize="21600,21600">
            <v:path/>
            <v:fill on="f" focussize="0,0"/>
            <v:stroke on="f" joinstyle="miter"/>
            <v:imagedata r:id="rId175" o:title=""/>
            <o:lock v:ext="edit" aspectratio="t"/>
            <w10:wrap type="none"/>
            <w10:anchorlock/>
          </v:shape>
          <o:OLEObject Type="Embed" ProgID="Equation.DSMT4" ShapeID="_x0000_i1101" DrawAspect="Content" ObjectID="_1468075801" r:id="rId174">
            <o:LockedField>false</o:LockedField>
          </o:OLEObject>
        </w:object>
      </w:r>
      <w:r>
        <w:t xml:space="preserve">                     </w:t>
      </w:r>
      <w:r>
        <w:rPr>
          <w:rFonts w:ascii="宋体" w:hAnsi="宋体"/>
          <w:bCs/>
          <w:spacing w:val="-1"/>
          <w:szCs w:val="21"/>
        </w:rPr>
        <w:t>（B.11）</w:t>
      </w:r>
    </w:p>
    <w:p>
      <w:pPr>
        <w:pStyle w:val="4"/>
        <w:numPr>
          <w:ilvl w:val="0"/>
          <w:numId w:val="0"/>
        </w:numPr>
        <w:ind w:right="-1" w:rightChars="0"/>
      </w:pPr>
      <w:bookmarkStart w:id="257" w:name="_Toc22688"/>
      <w:r>
        <w:rPr>
          <w:rFonts w:ascii="黑体" w:hAnsi="黑体" w:eastAsia="黑体"/>
        </w:rPr>
        <w:t>B.1.3</w:t>
      </w:r>
      <w:r>
        <w:rPr>
          <w:rFonts w:hint="eastAsia"/>
        </w:rPr>
        <w:t>　</w:t>
      </w:r>
      <w:r>
        <w:t>标准升温曲线下构件的温度场计算应符合下列规定：</w:t>
      </w:r>
      <w:bookmarkEnd w:id="257"/>
    </w:p>
    <w:p>
      <w:pPr>
        <w:ind w:firstLine="0" w:firstLineChars="0"/>
      </w:pPr>
      <w:r>
        <w:rPr>
          <w:rFonts w:ascii="黑体" w:hAnsi="黑体" w:eastAsia="黑体"/>
        </w:rPr>
        <w:t>B.1.3</w:t>
      </w:r>
      <w:r>
        <w:rPr>
          <w:rFonts w:hint="eastAsia" w:ascii="黑体" w:hAnsi="黑体" w:eastAsia="黑体"/>
        </w:rPr>
        <w:t>.</w:t>
      </w:r>
      <w:r>
        <w:rPr>
          <w:rFonts w:ascii="黑体" w:hAnsi="黑体" w:eastAsia="黑体"/>
        </w:rPr>
        <w:t>1</w:t>
      </w:r>
      <w:r>
        <w:rPr>
          <w:rFonts w:hint="eastAsia"/>
        </w:rPr>
        <w:t>　</w:t>
      </w:r>
      <w:r>
        <w:t>钢管的温度</w:t>
      </w:r>
      <w:r>
        <w:rPr>
          <w:position w:val="-12"/>
        </w:rPr>
        <w:object>
          <v:shape id="_x0000_i1102" o:spt="75" type="#_x0000_t75" style="height:14.4pt;width:14.4pt;" o:ole="t" filled="f" o:preferrelative="t" stroked="f" coordsize="21600,21600">
            <v:path/>
            <v:fill on="f" focussize="0,0"/>
            <v:stroke on="f" joinstyle="miter"/>
            <v:imagedata r:id="rId177" o:title=""/>
            <o:lock v:ext="edit" aspectratio="t"/>
            <w10:wrap type="none"/>
            <w10:anchorlock/>
          </v:shape>
          <o:OLEObject Type="Embed" ProgID="Equation.DSMT4" ShapeID="_x0000_i1102" DrawAspect="Content" ObjectID="_1468075802" r:id="rId176">
            <o:LockedField>false</o:LockedField>
          </o:OLEObject>
        </w:object>
      </w:r>
      <w:r>
        <w:t>应按</w:t>
      </w:r>
      <w:r>
        <w:rPr>
          <w:rFonts w:hint="eastAsia"/>
        </w:rPr>
        <w:t>公式</w:t>
      </w:r>
      <w:r>
        <w:rPr>
          <w:rFonts w:hint="eastAsia"/>
          <w:lang w:val="zh-CN"/>
        </w:rPr>
        <w:t>（</w:t>
      </w:r>
      <w:r>
        <w:rPr>
          <w:rFonts w:ascii="宋体" w:hAnsi="宋体" w:cs="Times New Roman"/>
          <w:bCs/>
          <w:spacing w:val="-1"/>
          <w:szCs w:val="21"/>
        </w:rPr>
        <w:t>B.12</w:t>
      </w:r>
      <w:r>
        <w:rPr>
          <w:rFonts w:hint="eastAsia"/>
          <w:lang w:val="zh-CN"/>
        </w:rPr>
        <w:t>）-（</w:t>
      </w:r>
      <w:r>
        <w:rPr>
          <w:rFonts w:ascii="宋体" w:hAnsi="宋体"/>
          <w:bCs/>
          <w:spacing w:val="-1"/>
          <w:szCs w:val="21"/>
        </w:rPr>
        <w:t>B.16</w:t>
      </w:r>
      <w:r>
        <w:rPr>
          <w:rFonts w:hint="eastAsia"/>
          <w:lang w:val="zh-CN"/>
        </w:rPr>
        <w:t>）</w:t>
      </w:r>
      <w:r>
        <w:t>计算：</w:t>
      </w:r>
    </w:p>
    <w:p>
      <w:pPr>
        <w:spacing w:line="240" w:lineRule="auto"/>
        <w:ind w:firstLine="3570" w:firstLineChars="1700"/>
        <w:jc w:val="right"/>
      </w:pPr>
      <w:r>
        <w:rPr>
          <w:position w:val="-66"/>
        </w:rPr>
        <w:object>
          <v:shape id="_x0000_i1103" o:spt="75" type="#_x0000_t75" style="height:72pt;width:129.6pt;" o:ole="t" filled="f" o:preferrelative="t" stroked="f" coordsize="21600,21600">
            <v:path/>
            <v:fill on="f" focussize="0,0"/>
            <v:stroke on="f" joinstyle="miter"/>
            <v:imagedata r:id="rId179" o:title=""/>
            <o:lock v:ext="edit" aspectratio="t"/>
            <w10:wrap type="none"/>
            <w10:anchorlock/>
          </v:shape>
          <o:OLEObject Type="Embed" ProgID="Equation.DSMT4" ShapeID="_x0000_i1103" DrawAspect="Content" ObjectID="_1468075803" r:id="rId178">
            <o:LockedField>false</o:LockedField>
          </o:OLEObject>
        </w:object>
      </w:r>
      <w:r>
        <w:t xml:space="preserve">                     </w:t>
      </w:r>
      <w:r>
        <w:rPr>
          <w:rFonts w:ascii="宋体" w:hAnsi="宋体" w:cs="Times New Roman"/>
          <w:bCs/>
          <w:spacing w:val="-1"/>
          <w:szCs w:val="21"/>
        </w:rPr>
        <w:t>（B.</w:t>
      </w:r>
      <w:r>
        <w:rPr>
          <w:rFonts w:ascii="宋体" w:hAnsi="宋体"/>
          <w:bCs/>
          <w:spacing w:val="-1"/>
          <w:szCs w:val="21"/>
        </w:rPr>
        <w:t>12</w:t>
      </w:r>
      <w:r>
        <w:rPr>
          <w:rFonts w:ascii="宋体" w:hAnsi="宋体" w:cs="Times New Roman"/>
          <w:bCs/>
          <w:spacing w:val="-1"/>
          <w:szCs w:val="21"/>
        </w:rPr>
        <w:t>）</w:t>
      </w:r>
    </w:p>
    <w:p>
      <w:pPr>
        <w:spacing w:line="240" w:lineRule="auto"/>
        <w:ind w:firstLine="4410" w:firstLineChars="2100"/>
        <w:jc w:val="right"/>
      </w:pPr>
      <w:r>
        <w:rPr>
          <w:position w:val="-6"/>
        </w:rPr>
        <w:object>
          <v:shape id="_x0000_i1104" o:spt="75" type="#_x0000_t75" style="height:14.4pt;width:43.85pt;" o:ole="t" filled="f" o:preferrelative="t" stroked="f" coordsize="21600,21600">
            <v:path/>
            <v:fill on="f" focussize="0,0"/>
            <v:stroke on="f" joinstyle="miter"/>
            <v:imagedata r:id="rId181" o:title=""/>
            <o:lock v:ext="edit" aspectratio="t"/>
            <w10:wrap type="none"/>
            <w10:anchorlock/>
          </v:shape>
          <o:OLEObject Type="Embed" ProgID="Equation.DSMT4" ShapeID="_x0000_i1104" DrawAspect="Content" ObjectID="_1468075804" r:id="rId180">
            <o:LockedField>false</o:LockedField>
          </o:OLEObject>
        </w:object>
      </w:r>
      <w:r>
        <w:t xml:space="preserve">                             </w:t>
      </w:r>
      <w:r>
        <w:rPr>
          <w:rFonts w:ascii="宋体" w:hAnsi="宋体" w:cs="Times New Roman"/>
          <w:bCs/>
          <w:spacing w:val="-1"/>
          <w:szCs w:val="21"/>
        </w:rPr>
        <w:t>（B.</w:t>
      </w:r>
      <w:r>
        <w:rPr>
          <w:rFonts w:ascii="宋体" w:hAnsi="宋体"/>
          <w:bCs/>
          <w:spacing w:val="-1"/>
          <w:szCs w:val="21"/>
        </w:rPr>
        <w:t>13</w:t>
      </w:r>
      <w:r>
        <w:rPr>
          <w:rFonts w:ascii="宋体" w:hAnsi="宋体" w:cs="Times New Roman"/>
          <w:bCs/>
          <w:spacing w:val="-1"/>
          <w:szCs w:val="21"/>
        </w:rPr>
        <w:t>）</w:t>
      </w:r>
    </w:p>
    <w:p>
      <w:pPr>
        <w:spacing w:line="240" w:lineRule="auto"/>
        <w:ind w:firstLine="3979" w:firstLineChars="1895"/>
        <w:jc w:val="right"/>
      </w:pPr>
      <w:r>
        <w:rPr>
          <w:position w:val="-6"/>
        </w:rPr>
        <w:object>
          <v:shape id="_x0000_i1105" o:spt="75" type="#_x0000_t75" style="height:14.4pt;width:93.9pt;" o:ole="t" filled="f" o:preferrelative="t" stroked="f" coordsize="21600,21600">
            <v:path/>
            <v:fill on="f" focussize="0,0"/>
            <v:stroke on="f" joinstyle="miter"/>
            <v:imagedata r:id="rId183" o:title=""/>
            <o:lock v:ext="edit" aspectratio="t"/>
            <w10:wrap type="none"/>
            <w10:anchorlock/>
          </v:shape>
          <o:OLEObject Type="Embed" ProgID="Equation.DSMT4" ShapeID="_x0000_i1105" DrawAspect="Content" ObjectID="_1468075805" r:id="rId182">
            <o:LockedField>false</o:LockedField>
          </o:OLEObject>
        </w:object>
      </w:r>
      <w:r>
        <w:t xml:space="preserve">                        </w:t>
      </w:r>
      <w:r>
        <w:rPr>
          <w:rFonts w:ascii="宋体" w:hAnsi="宋体" w:cs="Times New Roman"/>
          <w:bCs/>
          <w:spacing w:val="-1"/>
          <w:szCs w:val="21"/>
        </w:rPr>
        <w:t>（B.</w:t>
      </w:r>
      <w:r>
        <w:rPr>
          <w:rFonts w:ascii="宋体" w:hAnsi="宋体"/>
          <w:bCs/>
          <w:spacing w:val="-1"/>
          <w:szCs w:val="21"/>
        </w:rPr>
        <w:t>14</w:t>
      </w:r>
      <w:r>
        <w:rPr>
          <w:rFonts w:ascii="宋体" w:hAnsi="宋体" w:cs="Times New Roman"/>
          <w:bCs/>
          <w:spacing w:val="-1"/>
          <w:szCs w:val="21"/>
        </w:rPr>
        <w:t>）</w:t>
      </w:r>
    </w:p>
    <w:p>
      <w:pPr>
        <w:spacing w:line="240" w:lineRule="auto"/>
        <w:ind w:firstLine="3990" w:firstLineChars="1900"/>
        <w:jc w:val="right"/>
      </w:pPr>
      <w:r>
        <w:rPr>
          <w:position w:val="-6"/>
        </w:rPr>
        <w:object>
          <v:shape id="_x0000_i1106" o:spt="75" type="#_x0000_t75" style="height:14.4pt;width:100.15pt;" o:ole="t" filled="f" o:preferrelative="t" stroked="f" coordsize="21600,21600">
            <v:path/>
            <v:fill on="f" focussize="0,0"/>
            <v:stroke on="f" joinstyle="miter"/>
            <v:imagedata r:id="rId185" o:title=""/>
            <o:lock v:ext="edit" aspectratio="t"/>
            <w10:wrap type="none"/>
            <w10:anchorlock/>
          </v:shape>
          <o:OLEObject Type="Embed" ProgID="Equation.DSMT4" ShapeID="_x0000_i1106" DrawAspect="Content" ObjectID="_1468075806" r:id="rId184">
            <o:LockedField>false</o:LockedField>
          </o:OLEObject>
        </w:object>
      </w:r>
      <w:r>
        <w:t xml:space="preserve">                       </w:t>
      </w:r>
      <w:r>
        <w:rPr>
          <w:rFonts w:ascii="宋体" w:hAnsi="宋体" w:cs="Times New Roman"/>
          <w:bCs/>
          <w:spacing w:val="-1"/>
          <w:szCs w:val="21"/>
        </w:rPr>
        <w:t>（B.</w:t>
      </w:r>
      <w:r>
        <w:rPr>
          <w:rFonts w:ascii="宋体" w:hAnsi="宋体"/>
          <w:bCs/>
          <w:spacing w:val="-1"/>
          <w:szCs w:val="21"/>
        </w:rPr>
        <w:t>15</w:t>
      </w:r>
      <w:r>
        <w:rPr>
          <w:rFonts w:ascii="宋体" w:hAnsi="宋体" w:cs="Times New Roman"/>
          <w:bCs/>
          <w:spacing w:val="-1"/>
          <w:szCs w:val="21"/>
        </w:rPr>
        <w:t>）</w:t>
      </w:r>
    </w:p>
    <w:p>
      <w:pPr>
        <w:spacing w:line="240" w:lineRule="auto"/>
        <w:ind w:firstLine="3360" w:firstLineChars="1600"/>
        <w:jc w:val="right"/>
      </w:pPr>
      <w:r>
        <w:rPr>
          <w:position w:val="-26"/>
        </w:rPr>
        <w:object>
          <v:shape id="_x0000_i1107" o:spt="75" type="#_x0000_t75" style="height:35.7pt;width:151.5pt;" o:ole="t" filled="f" o:preferrelative="t" stroked="f" coordsize="21600,21600">
            <v:path/>
            <v:fill on="f" focussize="0,0"/>
            <v:stroke on="f" joinstyle="miter"/>
            <v:imagedata r:id="rId187" o:title=""/>
            <o:lock v:ext="edit" aspectratio="t"/>
            <w10:wrap type="none"/>
            <w10:anchorlock/>
          </v:shape>
          <o:OLEObject Type="Embed" ProgID="Equation.DSMT4" ShapeID="_x0000_i1107" DrawAspect="Content" ObjectID="_1468075807" r:id="rId186">
            <o:LockedField>false</o:LockedField>
          </o:OLEObject>
        </w:object>
      </w:r>
      <w:r>
        <w:t xml:space="preserve">                   </w:t>
      </w:r>
      <w:r>
        <w:rPr>
          <w:rFonts w:ascii="宋体" w:hAnsi="宋体" w:cs="Times New Roman"/>
          <w:bCs/>
          <w:spacing w:val="-1"/>
          <w:szCs w:val="21"/>
        </w:rPr>
        <w:t>（B.</w:t>
      </w:r>
      <w:r>
        <w:rPr>
          <w:rFonts w:ascii="宋体" w:hAnsi="宋体"/>
          <w:bCs/>
          <w:spacing w:val="-1"/>
          <w:szCs w:val="21"/>
        </w:rPr>
        <w:t>16</w:t>
      </w:r>
      <w:r>
        <w:rPr>
          <w:rFonts w:ascii="宋体" w:hAnsi="宋体" w:cs="Times New Roman"/>
          <w:bCs/>
          <w:spacing w:val="-1"/>
          <w:szCs w:val="21"/>
        </w:rPr>
        <w:t>）</w:t>
      </w:r>
    </w:p>
    <w:p>
      <w:pPr>
        <w:pStyle w:val="15"/>
        <w:spacing w:before="0" w:line="360" w:lineRule="exact"/>
        <w:ind w:left="0" w:firstLine="420"/>
      </w:pPr>
      <w:r>
        <w:rPr>
          <w:rFonts w:hint="eastAsia"/>
        </w:rPr>
        <w:t>式中：</w:t>
      </w:r>
      <w:r>
        <w:rPr>
          <w:position w:val="-6"/>
        </w:rPr>
        <w:object>
          <v:shape id="_x0000_i1108"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08" DrawAspect="Content" ObjectID="_1468075808" r:id="rId188">
            <o:LockedField>false</o:LockedField>
          </o:OLEObject>
        </w:object>
      </w:r>
      <w:r>
        <w:rPr>
          <w:rFonts w:hAnsi="宋体"/>
          <w:b/>
        </w:rPr>
        <w:t>——</w:t>
      </w:r>
      <w:r>
        <w:rPr>
          <w:rFonts w:hint="eastAsia"/>
        </w:rPr>
        <w:t>时间</w:t>
      </w:r>
      <w:r>
        <w:rPr>
          <w:rFonts w:ascii="Times New Roman" w:cs="Times New Roman"/>
          <w:position w:val="-10"/>
        </w:rPr>
        <w:object>
          <v:shape id="_x0000_i1109" o:spt="75" type="#_x0000_t75" style="height:14.4pt;width:28.8pt;" o:ole="t" filled="f" o:preferrelative="t" stroked="f" coordsize="21600,21600">
            <v:path/>
            <v:fill on="f" focussize="0,0"/>
            <v:stroke on="f" joinstyle="miter"/>
            <v:imagedata r:id="rId191" o:title=""/>
            <o:lock v:ext="edit" aspectratio="t"/>
            <w10:wrap type="none"/>
            <w10:anchorlock/>
          </v:shape>
          <o:OLEObject Type="Embed" ProgID="Equation.DSMT4" ShapeID="_x0000_i1109" DrawAspect="Content" ObjectID="_1468075809" r:id="rId190">
            <o:LockedField>false</o:LockedField>
          </o:OLEObject>
        </w:object>
      </w:r>
      <w:r>
        <w:rPr>
          <w:rFonts w:hint="eastAsia"/>
        </w:rPr>
        <w:t>；</w:t>
      </w:r>
    </w:p>
    <w:p>
      <w:pPr>
        <w:pStyle w:val="15"/>
        <w:spacing w:before="0" w:line="360" w:lineRule="exact"/>
        <w:ind w:left="0" w:firstLine="525" w:firstLineChars="250"/>
      </w:pPr>
      <w:r>
        <w:rPr>
          <w:position w:val="-12"/>
        </w:rPr>
        <w:object>
          <v:shape id="_x0000_i1110" o:spt="75" type="#_x0000_t75" style="height:14.4pt;width:14.4pt;" o:ole="t" filled="f" o:preferrelative="t" stroked="f" coordsize="21600,21600">
            <v:path/>
            <v:fill on="f" focussize="0,0"/>
            <v:stroke on="f" joinstyle="miter"/>
            <v:imagedata r:id="rId193" o:title=""/>
            <o:lock v:ext="edit" aspectratio="t"/>
            <w10:wrap type="none"/>
            <w10:anchorlock/>
          </v:shape>
          <o:OLEObject Type="Embed" ProgID="Equation.DSMT4" ShapeID="_x0000_i1110" DrawAspect="Content" ObjectID="_1468075810" r:id="rId192">
            <o:LockedField>false</o:LockedField>
          </o:OLEObject>
        </w:object>
      </w:r>
      <w:r>
        <w:rPr>
          <w:rFonts w:hAnsi="宋体"/>
          <w:b/>
        </w:rPr>
        <w:t>——</w:t>
      </w:r>
      <w:r>
        <w:rPr>
          <w:rFonts w:hint="eastAsia"/>
        </w:rPr>
        <w:t>钢管的温度</w:t>
      </w:r>
      <w:r>
        <w:rPr>
          <w:rFonts w:ascii="Times New Roman" w:cs="Times New Roman"/>
          <w:position w:val="-10"/>
        </w:rPr>
        <w:object>
          <v:shape id="_x0000_i1111"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111" DrawAspect="Content" ObjectID="_1468075811" r:id="rId194">
            <o:LockedField>false</o:LockedField>
          </o:OLEObject>
        </w:object>
      </w:r>
      <w:r>
        <w:rPr>
          <w:rFonts w:hint="eastAsia"/>
        </w:rPr>
        <w:t>；</w:t>
      </w:r>
    </w:p>
    <w:p>
      <w:pPr>
        <w:pStyle w:val="15"/>
        <w:spacing w:before="0" w:line="360" w:lineRule="exact"/>
        <w:ind w:left="0" w:firstLine="525" w:firstLineChars="250"/>
      </w:pPr>
      <w:r>
        <w:rPr>
          <w:position w:val="-6"/>
        </w:rPr>
        <w:object>
          <v:shape id="_x0000_i1112" o:spt="75" type="#_x0000_t75" style="height:14.4pt;width:14.4pt;" o:ole="t" filled="f" o:preferrelative="t" stroked="f" coordsize="21600,21600">
            <v:path/>
            <v:fill on="f" focussize="0,0"/>
            <v:stroke on="f" joinstyle="miter"/>
            <v:imagedata r:id="rId196" o:title=""/>
            <o:lock v:ext="edit" aspectratio="t"/>
            <w10:wrap type="none"/>
            <w10:anchorlock/>
          </v:shape>
          <o:OLEObject Type="Embed" ProgID="Equation.DSMT4" ShapeID="_x0000_i1112" DrawAspect="Content" ObjectID="_1468075812" r:id="rId195">
            <o:LockedField>false</o:LockedField>
          </o:OLEObject>
        </w:object>
      </w:r>
      <w:r>
        <w:rPr>
          <w:rFonts w:hAnsi="宋体"/>
          <w:b/>
        </w:rPr>
        <w:t>——</w:t>
      </w:r>
      <w:r>
        <w:rPr>
          <w:rFonts w:hint="eastAsia" w:hAnsi="宋体"/>
        </w:rPr>
        <w:t>钢管的等效厚度</w:t>
      </w:r>
      <w:r>
        <w:rPr>
          <w:rFonts w:cs="Times New Roman"/>
          <w:position w:val="-10"/>
        </w:rPr>
        <w:object>
          <v:shape id="_x0000_i1113" o:spt="75" type="#_x0000_t75" style="height:14.4pt;width:28.8pt;" o:ole="t" filled="f" o:preferrelative="t" stroked="f" coordsize="21600,21600">
            <v:path/>
            <v:fill on="f" focussize="0,0"/>
            <v:stroke on="f" joinstyle="miter"/>
            <v:imagedata r:id="rId198" o:title=""/>
            <o:lock v:ext="edit" aspectratio="t"/>
            <w10:wrap type="none"/>
            <w10:anchorlock/>
          </v:shape>
          <o:OLEObject Type="Embed" ProgID="Equation.DSMT4" ShapeID="_x0000_i1113" DrawAspect="Content" ObjectID="_1468075813" r:id="rId197">
            <o:LockedField>false</o:LockedField>
          </o:OLEObject>
        </w:object>
      </w:r>
      <w:r>
        <w:rPr>
          <w:rFonts w:cs="Times New Roman"/>
        </w:rPr>
        <w:t>，根据面积等效成圆形的厚度</w:t>
      </w:r>
      <w:r>
        <w:rPr>
          <w:rFonts w:ascii="Times New Roman" w:cs="Times New Roman"/>
        </w:rPr>
        <w:t>。</w:t>
      </w:r>
    </w:p>
    <w:p>
      <w:pPr>
        <w:ind w:firstLine="0" w:firstLineChars="0"/>
      </w:pPr>
      <w:r>
        <w:rPr>
          <w:rFonts w:ascii="黑体" w:hAnsi="黑体" w:eastAsia="黑体"/>
        </w:rPr>
        <w:t>B.1.3</w:t>
      </w:r>
      <w:r>
        <w:rPr>
          <w:rFonts w:hint="eastAsia" w:ascii="黑体" w:hAnsi="黑体" w:eastAsia="黑体"/>
        </w:rPr>
        <w:t>.</w:t>
      </w:r>
      <w:r>
        <w:rPr>
          <w:rFonts w:ascii="黑体" w:hAnsi="黑体" w:eastAsia="黑体"/>
        </w:rPr>
        <w:t>2</w:t>
      </w:r>
      <w:r>
        <w:rPr>
          <w:rFonts w:hint="eastAsia"/>
        </w:rPr>
        <w:t>　</w:t>
      </w:r>
      <w:r>
        <w:t>混凝土的平均温度</w:t>
      </w:r>
      <w:r>
        <w:rPr>
          <w:position w:val="-6"/>
        </w:rPr>
        <w:object>
          <v:shape id="_x0000_i1114" o:spt="75" type="#_x0000_t75" style="height:14.4pt;width:14.4pt;" o:ole="t" filled="f" o:preferrelative="t" stroked="f" coordsize="21600,21600">
            <v:path/>
            <v:fill on="f" focussize="0,0"/>
            <v:stroke on="f" joinstyle="miter"/>
            <v:imagedata r:id="rId200" o:title=""/>
            <o:lock v:ext="edit" aspectratio="t"/>
            <w10:wrap type="none"/>
            <w10:anchorlock/>
          </v:shape>
          <o:OLEObject Type="Embed" ProgID="Equation.DSMT4" ShapeID="_x0000_i1114" DrawAspect="Content" ObjectID="_1468075814" r:id="rId199">
            <o:LockedField>false</o:LockedField>
          </o:OLEObject>
        </w:object>
      </w:r>
      <w:r>
        <w:t>应按</w:t>
      </w:r>
      <w:r>
        <w:rPr>
          <w:rFonts w:hint="eastAsia"/>
        </w:rPr>
        <w:t>公式</w:t>
      </w:r>
      <w:r>
        <w:rPr>
          <w:rFonts w:hint="eastAsia"/>
          <w:lang w:val="zh-CN"/>
        </w:rPr>
        <w:t>（</w:t>
      </w:r>
      <w:r>
        <w:rPr>
          <w:rFonts w:ascii="宋体" w:hAnsi="宋体" w:cs="Times New Roman"/>
          <w:bCs/>
          <w:spacing w:val="-1"/>
          <w:szCs w:val="21"/>
        </w:rPr>
        <w:t>B.17</w:t>
      </w:r>
      <w:r>
        <w:rPr>
          <w:rFonts w:hint="eastAsia"/>
          <w:lang w:val="zh-CN"/>
        </w:rPr>
        <w:t>）-（</w:t>
      </w:r>
      <w:r>
        <w:rPr>
          <w:rFonts w:ascii="宋体" w:hAnsi="宋体"/>
          <w:bCs/>
          <w:spacing w:val="-1"/>
          <w:szCs w:val="21"/>
        </w:rPr>
        <w:t>B.21</w:t>
      </w:r>
      <w:r>
        <w:rPr>
          <w:rFonts w:hint="eastAsia"/>
          <w:lang w:val="zh-CN"/>
        </w:rPr>
        <w:t>）</w:t>
      </w:r>
      <w:r>
        <w:t>计算：</w:t>
      </w:r>
    </w:p>
    <w:p>
      <w:pPr>
        <w:spacing w:line="240" w:lineRule="auto"/>
        <w:ind w:firstLine="0" w:firstLineChars="0"/>
        <w:jc w:val="right"/>
      </w:pPr>
      <w:r>
        <w:rPr>
          <w:rFonts w:hint="eastAsia"/>
        </w:rPr>
        <w:t xml:space="preserve"> </w:t>
      </w:r>
      <w:r>
        <w:t xml:space="preserve">                               </w:t>
      </w:r>
      <w:r>
        <w:rPr>
          <w:position w:val="-66"/>
        </w:rPr>
        <w:object>
          <v:shape id="_x0000_i1115" o:spt="75" type="#_x0000_t75" style="height:72pt;width:172.15pt;" o:ole="t" filled="f" o:preferrelative="t" stroked="f" coordsize="21600,21600">
            <v:path/>
            <v:fill on="f" focussize="0,0"/>
            <v:stroke on="f" joinstyle="miter"/>
            <v:imagedata r:id="rId202" o:title=""/>
            <o:lock v:ext="edit" aspectratio="t"/>
            <w10:wrap type="none"/>
            <w10:anchorlock/>
          </v:shape>
          <o:OLEObject Type="Embed" ProgID="Equation.DSMT4" ShapeID="_x0000_i1115" DrawAspect="Content" ObjectID="_1468075815" r:id="rId201">
            <o:LockedField>false</o:LockedField>
          </o:OLEObject>
        </w:object>
      </w:r>
      <w:r>
        <w:t xml:space="preserve">               </w:t>
      </w:r>
      <w:r>
        <w:rPr>
          <w:rFonts w:ascii="宋体" w:hAnsi="宋体" w:cs="Times New Roman"/>
          <w:bCs/>
          <w:spacing w:val="-1"/>
          <w:szCs w:val="21"/>
        </w:rPr>
        <w:t>（B.</w:t>
      </w:r>
      <w:r>
        <w:rPr>
          <w:rFonts w:ascii="宋体" w:hAnsi="宋体"/>
          <w:bCs/>
          <w:spacing w:val="-1"/>
          <w:szCs w:val="21"/>
        </w:rPr>
        <w:t>17</w:t>
      </w:r>
      <w:r>
        <w:rPr>
          <w:rFonts w:ascii="宋体" w:hAnsi="宋体" w:cs="Times New Roman"/>
          <w:bCs/>
          <w:spacing w:val="-1"/>
          <w:szCs w:val="21"/>
        </w:rPr>
        <w:t>）</w:t>
      </w:r>
    </w:p>
    <w:p>
      <w:pPr>
        <w:spacing w:line="240" w:lineRule="auto"/>
        <w:ind w:firstLine="4200" w:firstLineChars="2000"/>
        <w:jc w:val="right"/>
        <w:rPr>
          <w:rFonts w:cs="Times New Roman"/>
          <w:spacing w:val="-1"/>
          <w:sz w:val="24"/>
          <w:szCs w:val="24"/>
        </w:rPr>
      </w:pPr>
      <w:r>
        <w:rPr>
          <w:position w:val="-6"/>
        </w:rPr>
        <w:object>
          <v:shape id="_x0000_i1116" o:spt="75" type="#_x0000_t75" style="height:14.4pt;width:115.85pt;" o:ole="t" filled="f" o:preferrelative="t" stroked="f" coordsize="21600,21600">
            <v:path/>
            <v:fill on="f" focussize="0,0"/>
            <v:stroke on="f" joinstyle="miter"/>
            <v:imagedata r:id="rId204" o:title=""/>
            <o:lock v:ext="edit" aspectratio="t"/>
            <w10:wrap type="none"/>
            <w10:anchorlock/>
          </v:shape>
          <o:OLEObject Type="Embed" ProgID="Equation.DSMT4" ShapeID="_x0000_i1116" DrawAspect="Content" ObjectID="_1468075816" r:id="rId203">
            <o:LockedField>false</o:LockedField>
          </o:OLEObject>
        </w:object>
      </w:r>
      <w:r>
        <w:t xml:space="preserve">                   </w:t>
      </w:r>
      <w:r>
        <w:rPr>
          <w:rFonts w:ascii="宋体" w:hAnsi="宋体" w:cs="Times New Roman"/>
          <w:bCs/>
          <w:spacing w:val="-1"/>
          <w:szCs w:val="21"/>
        </w:rPr>
        <w:t>（B.</w:t>
      </w:r>
      <w:r>
        <w:rPr>
          <w:rFonts w:ascii="宋体" w:hAnsi="宋体"/>
          <w:bCs/>
          <w:spacing w:val="-1"/>
          <w:szCs w:val="21"/>
        </w:rPr>
        <w:t>18</w:t>
      </w:r>
      <w:r>
        <w:rPr>
          <w:rFonts w:ascii="宋体" w:hAnsi="宋体" w:cs="Times New Roman"/>
          <w:bCs/>
          <w:spacing w:val="-1"/>
          <w:szCs w:val="21"/>
        </w:rPr>
        <w:t>）</w:t>
      </w:r>
    </w:p>
    <w:p>
      <w:pPr>
        <w:spacing w:line="240" w:lineRule="auto"/>
        <w:ind w:firstLine="2310" w:firstLineChars="1100"/>
        <w:jc w:val="right"/>
      </w:pPr>
      <w:r>
        <w:rPr>
          <w:position w:val="-12"/>
        </w:rPr>
        <w:object>
          <v:shape id="_x0000_i1117" o:spt="75" type="#_x0000_t75" style="height:21.9pt;width:266.1pt;" o:ole="t" filled="f" o:preferrelative="t" stroked="f" coordsize="21600,21600">
            <v:path/>
            <v:fill on="f" focussize="0,0"/>
            <v:stroke on="f" joinstyle="miter"/>
            <v:imagedata r:id="rId206" o:title=""/>
            <o:lock v:ext="edit" aspectratio="t"/>
            <w10:wrap type="none"/>
            <w10:anchorlock/>
          </v:shape>
          <o:OLEObject Type="Embed" ProgID="Equation.DSMT4" ShapeID="_x0000_i1117" DrawAspect="Content" ObjectID="_1468075817" r:id="rId205">
            <o:LockedField>false</o:LockedField>
          </o:OLEObject>
        </w:object>
      </w:r>
      <w:r>
        <w:t xml:space="preserve">       </w:t>
      </w:r>
      <w:r>
        <w:rPr>
          <w:rFonts w:ascii="宋体" w:hAnsi="宋体" w:cs="Times New Roman"/>
          <w:bCs/>
          <w:spacing w:val="-1"/>
          <w:szCs w:val="21"/>
        </w:rPr>
        <w:t>（B.</w:t>
      </w:r>
      <w:r>
        <w:rPr>
          <w:rFonts w:ascii="宋体" w:hAnsi="宋体"/>
          <w:bCs/>
          <w:spacing w:val="-1"/>
          <w:szCs w:val="21"/>
        </w:rPr>
        <w:t>19</w:t>
      </w:r>
      <w:r>
        <w:rPr>
          <w:rFonts w:ascii="宋体" w:hAnsi="宋体" w:cs="Times New Roman"/>
          <w:bCs/>
          <w:spacing w:val="-1"/>
          <w:szCs w:val="21"/>
        </w:rPr>
        <w:t>）</w:t>
      </w:r>
    </w:p>
    <w:p>
      <w:pPr>
        <w:spacing w:line="240" w:lineRule="auto"/>
        <w:ind w:firstLine="3979" w:firstLineChars="1895"/>
        <w:jc w:val="right"/>
      </w:pPr>
      <w:r>
        <w:rPr>
          <w:position w:val="-6"/>
        </w:rPr>
        <w:object>
          <v:shape id="_x0000_i1118" o:spt="75" type="#_x0000_t75" style="height:14.4pt;width:100.15pt;" o:ole="t" filled="f" o:preferrelative="t" stroked="f" coordsize="21600,21600">
            <v:path/>
            <v:fill on="f" focussize="0,0"/>
            <v:stroke on="f" joinstyle="miter"/>
            <v:imagedata r:id="rId185" o:title=""/>
            <o:lock v:ext="edit" aspectratio="t"/>
            <w10:wrap type="none"/>
            <w10:anchorlock/>
          </v:shape>
          <o:OLEObject Type="Embed" ProgID="Equation.DSMT4" ShapeID="_x0000_i1118" DrawAspect="Content" ObjectID="_1468075818" r:id="rId207">
            <o:LockedField>false</o:LockedField>
          </o:OLEObject>
        </w:object>
      </w:r>
      <w:r>
        <w:t xml:space="preserve">                       </w:t>
      </w:r>
      <w:r>
        <w:rPr>
          <w:rFonts w:ascii="宋体" w:hAnsi="宋体" w:cs="Times New Roman"/>
          <w:bCs/>
          <w:spacing w:val="-1"/>
          <w:szCs w:val="21"/>
        </w:rPr>
        <w:t>（B.</w:t>
      </w:r>
      <w:r>
        <w:rPr>
          <w:rFonts w:ascii="宋体" w:hAnsi="宋体"/>
          <w:bCs/>
          <w:spacing w:val="-1"/>
          <w:szCs w:val="21"/>
        </w:rPr>
        <w:t>20</w:t>
      </w:r>
      <w:r>
        <w:rPr>
          <w:rFonts w:ascii="宋体" w:hAnsi="宋体" w:cs="Times New Roman"/>
          <w:bCs/>
          <w:spacing w:val="-1"/>
          <w:szCs w:val="21"/>
        </w:rPr>
        <w:t>）</w:t>
      </w:r>
    </w:p>
    <w:p>
      <w:pPr>
        <w:spacing w:line="240" w:lineRule="auto"/>
        <w:ind w:firstLine="3979" w:firstLineChars="1895"/>
        <w:jc w:val="right"/>
      </w:pPr>
      <w:r>
        <w:rPr>
          <w:position w:val="-26"/>
        </w:rPr>
        <w:object>
          <v:shape id="_x0000_i1119" o:spt="75" type="#_x0000_t75" style="height:35.7pt;width:108.3pt;" o:ole="t" filled="f" o:preferrelative="t" stroked="f" coordsize="21600,21600">
            <v:path/>
            <v:fill on="f" focussize="0,0"/>
            <v:stroke on="f" joinstyle="miter"/>
            <v:imagedata r:id="rId209" o:title=""/>
            <o:lock v:ext="edit" aspectratio="t"/>
            <w10:wrap type="none"/>
            <w10:anchorlock/>
          </v:shape>
          <o:OLEObject Type="Embed" ProgID="Equation.DSMT4" ShapeID="_x0000_i1119" DrawAspect="Content" ObjectID="_1468075819" r:id="rId208">
            <o:LockedField>false</o:LockedField>
          </o:OLEObject>
        </w:object>
      </w:r>
      <w:r>
        <w:t xml:space="preserve">                      </w:t>
      </w:r>
      <w:r>
        <w:rPr>
          <w:rFonts w:ascii="宋体" w:hAnsi="宋体" w:cs="Times New Roman"/>
          <w:bCs/>
          <w:spacing w:val="-1"/>
          <w:szCs w:val="21"/>
        </w:rPr>
        <w:t>（B.</w:t>
      </w:r>
      <w:r>
        <w:rPr>
          <w:rFonts w:ascii="宋体" w:hAnsi="宋体"/>
          <w:bCs/>
          <w:spacing w:val="-1"/>
          <w:szCs w:val="21"/>
        </w:rPr>
        <w:t>21</w:t>
      </w:r>
      <w:r>
        <w:rPr>
          <w:rFonts w:ascii="宋体" w:hAnsi="宋体" w:cs="Times New Roman"/>
          <w:bCs/>
          <w:spacing w:val="-1"/>
          <w:szCs w:val="21"/>
        </w:rPr>
        <w:t>）</w:t>
      </w:r>
    </w:p>
    <w:p>
      <w:pPr>
        <w:pStyle w:val="15"/>
        <w:spacing w:before="0" w:line="360" w:lineRule="exact"/>
        <w:ind w:left="0" w:firstLine="420"/>
      </w:pPr>
      <w:r>
        <w:rPr>
          <w:rFonts w:hint="eastAsia"/>
        </w:rPr>
        <w:t>式中：</w:t>
      </w:r>
      <w:r>
        <w:rPr>
          <w:position w:val="-6"/>
        </w:rPr>
        <w:object>
          <v:shape id="_x0000_i1120"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20" DrawAspect="Content" ObjectID="_1468075820" r:id="rId210">
            <o:LockedField>false</o:LockedField>
          </o:OLEObject>
        </w:object>
      </w:r>
      <w:r>
        <w:rPr>
          <w:rFonts w:hAnsi="宋体"/>
          <w:b/>
        </w:rPr>
        <w:t>——</w:t>
      </w:r>
      <w:r>
        <w:rPr>
          <w:rFonts w:hint="eastAsia"/>
        </w:rPr>
        <w:t>时间</w:t>
      </w:r>
      <w:r>
        <w:rPr>
          <w:rFonts w:ascii="Times New Roman" w:cs="Times New Roman"/>
          <w:position w:val="-10"/>
        </w:rPr>
        <w:object>
          <v:shape id="_x0000_i1121" o:spt="75" type="#_x0000_t75" style="height:14.4pt;width:28.8pt;" o:ole="t" filled="f" o:preferrelative="t" stroked="f" coordsize="21600,21600">
            <v:path/>
            <v:fill on="f" focussize="0,0"/>
            <v:stroke on="f" joinstyle="miter"/>
            <v:imagedata r:id="rId191" o:title=""/>
            <o:lock v:ext="edit" aspectratio="t"/>
            <w10:wrap type="none"/>
            <w10:anchorlock/>
          </v:shape>
          <o:OLEObject Type="Embed" ProgID="Equation.DSMT4" ShapeID="_x0000_i1121" DrawAspect="Content" ObjectID="_1468075821" r:id="rId211">
            <o:LockedField>false</o:LockedField>
          </o:OLEObject>
        </w:object>
      </w:r>
      <w:r>
        <w:rPr>
          <w:rFonts w:hint="eastAsia"/>
        </w:rPr>
        <w:t>；</w:t>
      </w:r>
    </w:p>
    <w:p>
      <w:pPr>
        <w:pStyle w:val="15"/>
        <w:spacing w:before="0" w:line="360" w:lineRule="exact"/>
        <w:ind w:left="0" w:firstLine="420" w:firstLineChars="200"/>
      </w:pPr>
      <w:r>
        <w:rPr>
          <w:position w:val="-6"/>
        </w:rPr>
        <w:object>
          <v:shape id="_x0000_i1122" o:spt="75" type="#_x0000_t75" style="height:14.4pt;width:14.4pt;" o:ole="t" filled="f" o:preferrelative="t" stroked="f" coordsize="21600,21600">
            <v:path/>
            <v:fill on="f" focussize="0,0"/>
            <v:stroke on="f" joinstyle="miter"/>
            <v:imagedata r:id="rId200" o:title=""/>
            <o:lock v:ext="edit" aspectratio="t"/>
            <w10:wrap type="none"/>
            <w10:anchorlock/>
          </v:shape>
          <o:OLEObject Type="Embed" ProgID="Equation.DSMT4" ShapeID="_x0000_i1122" DrawAspect="Content" ObjectID="_1468075822" r:id="rId212">
            <o:LockedField>false</o:LockedField>
          </o:OLEObject>
        </w:object>
      </w:r>
      <w:r>
        <w:rPr>
          <w:rFonts w:hAnsi="宋体"/>
          <w:b/>
        </w:rPr>
        <w:t>——</w:t>
      </w:r>
      <w:r>
        <w:rPr>
          <w:rFonts w:hint="eastAsia"/>
        </w:rPr>
        <w:t>混凝土的平均温度</w:t>
      </w:r>
      <w:r>
        <w:rPr>
          <w:rFonts w:ascii="Times New Roman" w:cs="Times New Roman"/>
          <w:position w:val="-10"/>
        </w:rPr>
        <w:object>
          <v:shape id="_x0000_i1123"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123" DrawAspect="Content" ObjectID="_1468075823" r:id="rId213">
            <o:LockedField>false</o:LockedField>
          </o:OLEObject>
        </w:object>
      </w:r>
      <w:r>
        <w:rPr>
          <w:rFonts w:hint="eastAsia"/>
        </w:rPr>
        <w:t>；</w:t>
      </w:r>
    </w:p>
    <w:p>
      <w:pPr>
        <w:pStyle w:val="15"/>
        <w:spacing w:before="0" w:line="360" w:lineRule="exact"/>
        <w:ind w:left="0" w:firstLine="420" w:firstLineChars="200"/>
        <w:rPr>
          <w:rFonts w:cs="Times New Roman"/>
        </w:rPr>
      </w:pPr>
      <w:r>
        <w:rPr>
          <w:position w:val="-12"/>
        </w:rPr>
        <w:object>
          <v:shape id="_x0000_i1124" o:spt="75" type="#_x0000_t75" style="height:14.4pt;width:14.4pt;" o:ole="t" filled="f" o:preferrelative="t" stroked="f" coordsize="21600,21600">
            <v:path/>
            <v:fill on="f" focussize="0,0"/>
            <v:stroke on="f" joinstyle="miter"/>
            <v:imagedata r:id="rId215" o:title=""/>
            <o:lock v:ext="edit" aspectratio="t"/>
            <w10:wrap type="none"/>
            <w10:anchorlock/>
          </v:shape>
          <o:OLEObject Type="Embed" ProgID="Equation.DSMT4" ShapeID="_x0000_i1124" DrawAspect="Content" ObjectID="_1468075824" r:id="rId214">
            <o:LockedField>false</o:LockedField>
          </o:OLEObject>
        </w:object>
      </w:r>
      <w:r>
        <w:rPr>
          <w:rFonts w:hAnsi="宋体"/>
          <w:b/>
        </w:rPr>
        <w:t>——</w:t>
      </w:r>
      <w:r>
        <w:rPr>
          <w:rFonts w:hint="eastAsia" w:hAnsi="宋体"/>
        </w:rPr>
        <w:t>混凝土的等效厚度</w:t>
      </w:r>
      <w:r>
        <w:rPr>
          <w:rFonts w:cs="Times New Roman"/>
          <w:position w:val="-10"/>
        </w:rPr>
        <w:object>
          <v:shape id="_x0000_i1125" o:spt="75" type="#_x0000_t75" style="height:14.4pt;width:28.8pt;" o:ole="t" filled="f" o:preferrelative="t" stroked="f" coordsize="21600,21600">
            <v:path/>
            <v:fill on="f" focussize="0,0"/>
            <v:stroke on="f" joinstyle="miter"/>
            <v:imagedata r:id="rId198" o:title=""/>
            <o:lock v:ext="edit" aspectratio="t"/>
            <w10:wrap type="none"/>
            <w10:anchorlock/>
          </v:shape>
          <o:OLEObject Type="Embed" ProgID="Equation.DSMT4" ShapeID="_x0000_i1125" DrawAspect="Content" ObjectID="_1468075825" r:id="rId216">
            <o:LockedField>false</o:LockedField>
          </o:OLEObject>
        </w:object>
      </w:r>
      <w:r>
        <w:rPr>
          <w:rFonts w:cs="Times New Roman"/>
        </w:rPr>
        <w:t>，根据面积等效成圆形的厚度</w:t>
      </w:r>
      <w:r>
        <w:rPr>
          <w:rFonts w:hint="eastAsia" w:cs="Times New Roman"/>
        </w:rPr>
        <w:t>；</w:t>
      </w:r>
    </w:p>
    <w:p>
      <w:pPr>
        <w:pStyle w:val="15"/>
        <w:spacing w:before="0" w:line="360" w:lineRule="exact"/>
        <w:ind w:left="0" w:firstLine="420" w:firstLineChars="200"/>
        <w:rPr>
          <w:rFonts w:hAnsi="宋体"/>
        </w:rPr>
      </w:pPr>
      <w:r>
        <w:rPr>
          <w:position w:val="-10"/>
        </w:rPr>
        <w:object>
          <v:shape id="_x0000_i1126" o:spt="75" type="#_x0000_t75" style="height:14.4pt;width:14.4pt;" o:ole="t" filled="f" o:preferrelative="t" stroked="f" coordsize="21600,21600">
            <v:path/>
            <v:fill on="f" focussize="0,0"/>
            <v:stroke on="f" joinstyle="miter"/>
            <v:imagedata r:id="rId218" o:title=""/>
            <o:lock v:ext="edit" aspectratio="t"/>
            <w10:wrap type="none"/>
            <w10:anchorlock/>
          </v:shape>
          <o:OLEObject Type="Embed" ProgID="Equation.DSMT4" ShapeID="_x0000_i1126" DrawAspect="Content" ObjectID="_1468075826" r:id="rId217">
            <o:LockedField>false</o:LockedField>
          </o:OLEObject>
        </w:object>
      </w:r>
      <w:r>
        <w:rPr>
          <w:rFonts w:hAnsi="宋体"/>
          <w:b/>
        </w:rPr>
        <w:t>——</w:t>
      </w:r>
      <w:r>
        <w:rPr>
          <w:rFonts w:hint="eastAsia" w:hAnsi="宋体"/>
        </w:rPr>
        <w:t>空心率。</w:t>
      </w:r>
    </w:p>
    <w:p>
      <w:pPr>
        <w:pStyle w:val="4"/>
        <w:numPr>
          <w:ilvl w:val="0"/>
          <w:numId w:val="0"/>
        </w:numPr>
        <w:ind w:right="210"/>
      </w:pPr>
      <w:bookmarkStart w:id="258" w:name="_Toc24927"/>
      <w:r>
        <w:rPr>
          <w:rFonts w:ascii="黑体" w:hAnsi="黑体" w:eastAsia="黑体"/>
        </w:rPr>
        <w:t>B.1.4</w:t>
      </w:r>
      <w:r>
        <w:rPr>
          <w:rFonts w:hint="eastAsia"/>
        </w:rPr>
        <w:t>　</w:t>
      </w:r>
      <w:r>
        <w:t>标准火灾升温曲线下构件的抗压承载力应符合下列规定：</w:t>
      </w:r>
      <w:bookmarkEnd w:id="258"/>
    </w:p>
    <w:p>
      <w:pPr>
        <w:ind w:firstLine="0" w:firstLineChars="0"/>
      </w:pPr>
      <w:r>
        <w:rPr>
          <w:rFonts w:ascii="黑体" w:hAnsi="黑体" w:eastAsia="黑体"/>
        </w:rPr>
        <w:t>B.1.4</w:t>
      </w:r>
      <w:r>
        <w:rPr>
          <w:rFonts w:hint="eastAsia" w:ascii="黑体" w:hAnsi="黑体" w:eastAsia="黑体"/>
        </w:rPr>
        <w:t>.</w:t>
      </w:r>
      <w:r>
        <w:rPr>
          <w:rFonts w:ascii="黑体" w:hAnsi="黑体" w:eastAsia="黑体"/>
        </w:rPr>
        <w:t>1</w:t>
      </w:r>
      <w:r>
        <w:rPr>
          <w:rFonts w:hint="eastAsia"/>
        </w:rPr>
        <w:t>　</w:t>
      </w:r>
      <w:r>
        <w:t>火灾下构件的抗压强度设计值</w:t>
      </w:r>
      <w:r>
        <w:rPr>
          <w:position w:val="-12"/>
        </w:rPr>
        <w:object>
          <v:shape id="_x0000_i1127" o:spt="75" type="#_x0000_t75" style="height:21.9pt;width:14.4pt;" o:ole="t" filled="f" o:preferrelative="t" stroked="f" coordsize="21600,21600">
            <v:path/>
            <v:fill on="f" focussize="0,0"/>
            <v:stroke on="f" joinstyle="miter"/>
            <v:imagedata r:id="rId220" o:title=""/>
            <o:lock v:ext="edit" aspectratio="t"/>
            <w10:wrap type="none"/>
            <w10:anchorlock/>
          </v:shape>
          <o:OLEObject Type="Embed" ProgID="Equation.DSMT4" ShapeID="_x0000_i1127" DrawAspect="Content" ObjectID="_1468075827" r:id="rId219">
            <o:LockedField>false</o:LockedField>
          </o:OLEObject>
        </w:object>
      </w:r>
      <w:r>
        <w:t>应按</w:t>
      </w:r>
      <w:r>
        <w:rPr>
          <w:rFonts w:hint="eastAsia"/>
        </w:rPr>
        <w:t>公式</w:t>
      </w:r>
      <w:r>
        <w:rPr>
          <w:rFonts w:hint="eastAsia"/>
          <w:lang w:val="zh-CN"/>
        </w:rPr>
        <w:t>（</w:t>
      </w:r>
      <w:r>
        <w:rPr>
          <w:rFonts w:ascii="宋体" w:hAnsi="宋体" w:cs="Times New Roman"/>
          <w:bCs/>
          <w:spacing w:val="-1"/>
          <w:szCs w:val="21"/>
        </w:rPr>
        <w:t>B.22</w:t>
      </w:r>
      <w:r>
        <w:rPr>
          <w:rFonts w:hint="eastAsia"/>
          <w:lang w:val="zh-CN"/>
        </w:rPr>
        <w:t>）-（</w:t>
      </w:r>
      <w:r>
        <w:rPr>
          <w:rFonts w:ascii="宋体" w:hAnsi="宋体"/>
          <w:bCs/>
          <w:spacing w:val="-1"/>
          <w:szCs w:val="21"/>
        </w:rPr>
        <w:t>B.24</w:t>
      </w:r>
      <w:r>
        <w:rPr>
          <w:rFonts w:hint="eastAsia"/>
          <w:lang w:val="zh-CN"/>
        </w:rPr>
        <w:t>）</w:t>
      </w:r>
      <w:r>
        <w:t>计算：</w:t>
      </w:r>
    </w:p>
    <w:p>
      <w:pPr>
        <w:spacing w:line="240" w:lineRule="auto"/>
        <w:ind w:firstLine="4399" w:firstLineChars="2095"/>
        <w:jc w:val="right"/>
      </w:pPr>
      <w:r>
        <w:rPr>
          <w:position w:val="-12"/>
        </w:rPr>
        <w:object>
          <v:shape id="_x0000_i1128" o:spt="75" type="#_x0000_t75" style="height:21.9pt;width:57.6pt;" o:ole="t" filled="f" o:preferrelative="t" stroked="f" coordsize="21600,21600">
            <v:path/>
            <v:fill on="f" focussize="0,0"/>
            <v:stroke on="f" joinstyle="miter"/>
            <v:imagedata r:id="rId222" o:title=""/>
            <o:lock v:ext="edit" aspectratio="t"/>
            <w10:wrap type="none"/>
            <w10:anchorlock/>
          </v:shape>
          <o:OLEObject Type="Embed" ProgID="Equation.DSMT4" ShapeID="_x0000_i1128" DrawAspect="Content" ObjectID="_1468075828" r:id="rId221">
            <o:LockedField>false</o:LockedField>
          </o:OLEObject>
        </w:object>
      </w:r>
      <w:r>
        <w:t xml:space="preserve">                           </w:t>
      </w:r>
      <w:r>
        <w:rPr>
          <w:rFonts w:ascii="宋体" w:hAnsi="宋体" w:cs="Times New Roman"/>
          <w:bCs/>
          <w:spacing w:val="-1"/>
          <w:szCs w:val="21"/>
        </w:rPr>
        <w:t>（B.</w:t>
      </w:r>
      <w:r>
        <w:rPr>
          <w:rFonts w:ascii="宋体" w:hAnsi="宋体"/>
          <w:bCs/>
          <w:spacing w:val="-1"/>
          <w:szCs w:val="21"/>
        </w:rPr>
        <w:t>22</w:t>
      </w:r>
      <w:r>
        <w:rPr>
          <w:rFonts w:ascii="宋体" w:hAnsi="宋体" w:cs="Times New Roman"/>
          <w:bCs/>
          <w:spacing w:val="-1"/>
          <w:szCs w:val="21"/>
        </w:rPr>
        <w:t>）</w:t>
      </w:r>
    </w:p>
    <w:p>
      <w:pPr>
        <w:spacing w:line="240" w:lineRule="auto"/>
        <w:ind w:firstLine="3979" w:firstLineChars="1895"/>
        <w:jc w:val="right"/>
      </w:pPr>
      <w:r>
        <w:rPr>
          <w:position w:val="-30"/>
        </w:rPr>
        <w:object>
          <v:shape id="_x0000_i1129" o:spt="75" type="#_x0000_t75" style="height:43.85pt;width:93.9pt;" o:ole="t" filled="f" o:preferrelative="t" stroked="f" coordsize="21600,21600">
            <v:path/>
            <v:fill on="f" focussize="0,0"/>
            <v:stroke on="f" joinstyle="miter"/>
            <v:imagedata r:id="rId224" o:title=""/>
            <o:lock v:ext="edit" aspectratio="t"/>
            <w10:wrap type="none"/>
            <w10:anchorlock/>
          </v:shape>
          <o:OLEObject Type="Embed" ProgID="Equation.DSMT4" ShapeID="_x0000_i1129" DrawAspect="Content" ObjectID="_1468075829" r:id="rId223">
            <o:LockedField>false</o:LockedField>
          </o:OLEObject>
        </w:object>
      </w:r>
      <w:r>
        <w:t xml:space="preserve">                        </w:t>
      </w:r>
      <w:r>
        <w:rPr>
          <w:rFonts w:ascii="宋体" w:hAnsi="宋体" w:cs="Times New Roman"/>
          <w:bCs/>
          <w:spacing w:val="-1"/>
          <w:szCs w:val="21"/>
        </w:rPr>
        <w:t>（B.</w:t>
      </w:r>
      <w:r>
        <w:rPr>
          <w:rFonts w:ascii="宋体" w:hAnsi="宋体"/>
          <w:bCs/>
          <w:spacing w:val="-1"/>
          <w:szCs w:val="21"/>
        </w:rPr>
        <w:t>23</w:t>
      </w:r>
      <w:r>
        <w:rPr>
          <w:rFonts w:ascii="宋体" w:hAnsi="宋体" w:cs="Times New Roman"/>
          <w:bCs/>
          <w:spacing w:val="-1"/>
          <w:szCs w:val="21"/>
        </w:rPr>
        <w:t>）</w:t>
      </w:r>
    </w:p>
    <w:p>
      <w:pPr>
        <w:spacing w:line="240" w:lineRule="auto"/>
        <w:ind w:firstLine="3139" w:firstLineChars="1495"/>
        <w:jc w:val="right"/>
      </w:pPr>
      <w:r>
        <w:rPr>
          <w:position w:val="-50"/>
        </w:rPr>
        <w:object>
          <v:shape id="_x0000_i1130" o:spt="75" type="#_x0000_t75" style="height:57.6pt;width:187.2pt;" o:ole="t" filled="f" o:preferrelative="t" stroked="f" coordsize="21600,21600">
            <v:path/>
            <v:fill on="f" focussize="0,0"/>
            <v:stroke on="f" joinstyle="miter"/>
            <v:imagedata r:id="rId226" o:title=""/>
            <o:lock v:ext="edit" aspectratio="t"/>
            <w10:wrap type="none"/>
            <w10:anchorlock/>
          </v:shape>
          <o:OLEObject Type="Embed" ProgID="Equation.DSMT4" ShapeID="_x0000_i1130" DrawAspect="Content" ObjectID="_1468075830" r:id="rId225">
            <o:LockedField>false</o:LockedField>
          </o:OLEObject>
        </w:object>
      </w:r>
      <w:r>
        <w:t xml:space="preserve">               </w:t>
      </w:r>
      <w:r>
        <w:rPr>
          <w:rFonts w:ascii="宋体" w:hAnsi="宋体" w:cs="Times New Roman"/>
          <w:bCs/>
          <w:spacing w:val="-1"/>
          <w:szCs w:val="21"/>
        </w:rPr>
        <w:t>（B.</w:t>
      </w:r>
      <w:r>
        <w:rPr>
          <w:rFonts w:ascii="宋体" w:hAnsi="宋体"/>
          <w:bCs/>
          <w:spacing w:val="-1"/>
          <w:szCs w:val="21"/>
        </w:rPr>
        <w:t>24</w:t>
      </w:r>
      <w:r>
        <w:rPr>
          <w:rFonts w:ascii="宋体" w:hAnsi="宋体" w:cs="Times New Roman"/>
          <w:bCs/>
          <w:spacing w:val="-1"/>
          <w:szCs w:val="21"/>
        </w:rPr>
        <w:t>）</w:t>
      </w:r>
    </w:p>
    <w:p>
      <w:pPr>
        <w:pStyle w:val="15"/>
        <w:spacing w:before="0" w:line="360" w:lineRule="exact"/>
        <w:ind w:left="0" w:firstLine="420"/>
      </w:pPr>
      <w:r>
        <w:rPr>
          <w:rFonts w:hint="eastAsia"/>
        </w:rPr>
        <w:t>式中：</w:t>
      </w:r>
      <w:r>
        <w:rPr>
          <w:position w:val="-12"/>
        </w:rPr>
        <w:object>
          <v:shape id="_x0000_i1131" o:spt="75" type="#_x0000_t75" style="height:14.4pt;width:14.4pt;" o:ole="t" filled="f" o:preferrelative="t" stroked="f" coordsize="21600,21600">
            <v:path/>
            <v:fill on="f" focussize="0,0"/>
            <v:stroke on="f" joinstyle="miter"/>
            <v:imagedata r:id="rId228" o:title=""/>
            <o:lock v:ext="edit" aspectratio="t"/>
            <w10:wrap type="none"/>
            <w10:anchorlock/>
          </v:shape>
          <o:OLEObject Type="Embed" ProgID="Equation.DSMT4" ShapeID="_x0000_i1131" DrawAspect="Content" ObjectID="_1468075831" r:id="rId227">
            <o:LockedField>false</o:LockedField>
          </o:OLEObject>
        </w:object>
      </w:r>
      <w:r>
        <w:rPr>
          <w:rFonts w:hAnsi="宋体"/>
          <w:b/>
        </w:rPr>
        <w:t>——</w:t>
      </w:r>
      <w:r>
        <w:rPr>
          <w:rFonts w:hint="eastAsia"/>
        </w:rPr>
        <w:t>常温下钢管混凝土构件的抗压强度设计值</w:t>
      </w:r>
      <w:r>
        <w:rPr>
          <w:rFonts w:ascii="Times New Roman" w:cs="Times New Roman"/>
          <w:position w:val="-10"/>
        </w:rPr>
        <w:object>
          <v:shape id="_x0000_i1132" o:spt="75" type="#_x0000_t75" style="height:14.4pt;width:35.7pt;" o:ole="t" filled="f" o:preferrelative="t" stroked="f" coordsize="21600,21600">
            <v:path/>
            <v:fill on="f" focussize="0,0"/>
            <v:stroke on="f" joinstyle="miter"/>
            <v:imagedata r:id="rId230" o:title=""/>
            <o:lock v:ext="edit" aspectratio="t"/>
            <w10:wrap type="none"/>
            <w10:anchorlock/>
          </v:shape>
          <o:OLEObject Type="Embed" ProgID="Equation.DSMT4" ShapeID="_x0000_i1132" DrawAspect="Content" ObjectID="_1468075832" r:id="rId229">
            <o:LockedField>false</o:LockedField>
          </o:OLEObject>
        </w:object>
      </w:r>
      <w:r>
        <w:rPr>
          <w:rFonts w:hint="eastAsia"/>
        </w:rPr>
        <w:t>；</w:t>
      </w:r>
    </w:p>
    <w:p>
      <w:pPr>
        <w:pStyle w:val="15"/>
        <w:spacing w:before="0" w:line="360" w:lineRule="exact"/>
        <w:ind w:left="0" w:firstLine="630" w:firstLineChars="300"/>
      </w:pPr>
      <w:r>
        <w:rPr>
          <w:position w:val="-12"/>
        </w:rPr>
        <w:object>
          <v:shape id="_x0000_i1133" o:spt="75" type="#_x0000_t75" style="height:21.9pt;width:14.4pt;" o:ole="t" filled="f" o:preferrelative="t" stroked="f" coordsize="21600,21600">
            <v:path/>
            <v:fill on="f" focussize="0,0"/>
            <v:stroke on="f" joinstyle="miter"/>
            <v:imagedata r:id="rId232" o:title=""/>
            <o:lock v:ext="edit" aspectratio="t"/>
            <w10:wrap type="none"/>
            <w10:anchorlock/>
          </v:shape>
          <o:OLEObject Type="Embed" ProgID="Equation.DSMT4" ShapeID="_x0000_i1133" DrawAspect="Content" ObjectID="_1468075833" r:id="rId231">
            <o:LockedField>false</o:LockedField>
          </o:OLEObject>
        </w:object>
      </w:r>
      <w:r>
        <w:rPr>
          <w:rFonts w:hAnsi="宋体"/>
          <w:b/>
        </w:rPr>
        <w:t>——</w:t>
      </w:r>
      <w:r>
        <w:rPr>
          <w:rFonts w:hint="eastAsia"/>
        </w:rPr>
        <w:t>高温下的强度折减系数；</w:t>
      </w:r>
    </w:p>
    <w:p>
      <w:pPr>
        <w:pStyle w:val="15"/>
        <w:spacing w:before="0" w:line="360" w:lineRule="exact"/>
        <w:ind w:firstLine="105" w:firstLineChars="50"/>
        <w:rPr>
          <w:rFonts w:cs="Times New Roman"/>
        </w:rPr>
      </w:pPr>
      <w:r>
        <w:rPr>
          <w:position w:val="-12"/>
        </w:rPr>
        <w:object>
          <v:shape id="_x0000_i1134" o:spt="75" type="#_x0000_t75" style="height:14.4pt;width:35.7pt;" o:ole="t" filled="f" o:preferrelative="t" stroked="f" coordsize="21600,21600">
            <v:path/>
            <v:fill on="f" focussize="0,0"/>
            <v:stroke on="f" joinstyle="miter"/>
            <v:imagedata r:id="rId234" o:title=""/>
            <o:lock v:ext="edit" aspectratio="t"/>
            <w10:wrap type="none"/>
            <w10:anchorlock/>
          </v:shape>
          <o:OLEObject Type="Embed" ProgID="Equation.DSMT4" ShapeID="_x0000_i1134" DrawAspect="Content" ObjectID="_1468075834" r:id="rId233">
            <o:LockedField>false</o:LockedField>
          </o:OLEObject>
        </w:object>
      </w:r>
      <w:r>
        <w:rPr>
          <w:rFonts w:hAnsi="宋体"/>
          <w:b/>
        </w:rPr>
        <w:t>——</w:t>
      </w:r>
      <w:r>
        <w:rPr>
          <w:rFonts w:hint="eastAsia" w:hAnsi="宋体"/>
        </w:rPr>
        <w:t>钢管、管内混凝土的面积</w:t>
      </w:r>
      <w:r>
        <w:rPr>
          <w:rFonts w:cs="Times New Roman"/>
          <w:position w:val="-10"/>
        </w:rPr>
        <w:object>
          <v:shape id="_x0000_i1135" o:spt="75" type="#_x0000_t75" style="height:14.4pt;width:35.7pt;" o:ole="t" filled="f" o:preferrelative="t" stroked="f" coordsize="21600,21600">
            <v:path/>
            <v:fill on="f" focussize="0,0"/>
            <v:stroke on="f" joinstyle="miter"/>
            <v:imagedata r:id="rId236" o:title=""/>
            <o:lock v:ext="edit" aspectratio="t"/>
            <w10:wrap type="none"/>
            <w10:anchorlock/>
          </v:shape>
          <o:OLEObject Type="Embed" ProgID="Equation.DSMT4" ShapeID="_x0000_i1135" DrawAspect="Content" ObjectID="_1468075835" r:id="rId235">
            <o:LockedField>false</o:LockedField>
          </o:OLEObject>
        </w:object>
      </w:r>
      <w:r>
        <w:rPr>
          <w:rFonts w:hint="eastAsia" w:cs="Times New Roman"/>
        </w:rPr>
        <w:t>；</w:t>
      </w:r>
    </w:p>
    <w:p>
      <w:pPr>
        <w:pStyle w:val="15"/>
        <w:spacing w:before="0" w:line="360" w:lineRule="exact"/>
        <w:ind w:firstLine="420" w:firstLineChars="200"/>
      </w:pPr>
      <w:r>
        <w:rPr>
          <w:position w:val="-10"/>
        </w:rPr>
        <w:object>
          <v:shape id="_x0000_i1136" o:spt="75" type="#_x0000_t75" style="height:14.4pt;width:14.4pt;" o:ole="t" filled="f" o:preferrelative="t" stroked="f" coordsize="21600,21600">
            <v:path/>
            <v:fill on="f" focussize="0,0"/>
            <v:stroke on="f" joinstyle="miter"/>
            <v:imagedata r:id="rId238" o:title=""/>
            <o:lock v:ext="edit" aspectratio="t"/>
            <w10:wrap type="none"/>
            <w10:anchorlock/>
          </v:shape>
          <o:OLEObject Type="Embed" ProgID="Equation.DSMT4" ShapeID="_x0000_i1136" DrawAspect="Content" ObjectID="_1468075836" r:id="rId237">
            <o:LockedField>false</o:LockedField>
          </o:OLEObject>
        </w:object>
      </w:r>
      <w:r>
        <w:rPr>
          <w:rFonts w:hAnsi="宋体"/>
          <w:b/>
        </w:rPr>
        <w:t>——</w:t>
      </w:r>
      <w:r>
        <w:rPr>
          <w:position w:val="-6"/>
        </w:rPr>
        <w:object>
          <v:shape id="_x0000_i1137"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37" DrawAspect="Content" ObjectID="_1468075837" r:id="rId239">
            <o:LockedField>false</o:LockedField>
          </o:OLEObject>
        </w:object>
      </w:r>
      <w:r>
        <w:t>时刻高温下</w:t>
      </w:r>
      <w:r>
        <w:rPr>
          <w:rFonts w:hint="eastAsia"/>
        </w:rPr>
        <w:t>钢管</w:t>
      </w:r>
      <w:r>
        <w:t>的抗压强度设计值，应按本规范公式</w:t>
      </w:r>
      <w:r>
        <w:rPr>
          <w:rFonts w:ascii="Times New Roman" w:cs="Times New Roman"/>
        </w:rPr>
        <w:t>（</w:t>
      </w:r>
      <w:r>
        <w:rPr>
          <w:rFonts w:ascii="Times New Roman" w:cs="Times New Roman"/>
          <w:bCs/>
          <w:spacing w:val="-1"/>
          <w:kern w:val="2"/>
        </w:rPr>
        <w:t>B.2</w:t>
      </w:r>
      <w:r>
        <w:rPr>
          <w:rFonts w:ascii="Times New Roman" w:cs="Times New Roman"/>
        </w:rPr>
        <w:t>）</w:t>
      </w:r>
      <w:r>
        <w:t>计算，其中温度应按本规范公式</w:t>
      </w:r>
      <w:r>
        <w:rPr>
          <w:rFonts w:ascii="Times New Roman" w:cs="Times New Roman"/>
        </w:rPr>
        <w:t>（</w:t>
      </w:r>
      <w:r>
        <w:rPr>
          <w:rFonts w:ascii="Times New Roman" w:cs="Times New Roman"/>
          <w:bCs/>
          <w:spacing w:val="-1"/>
          <w:kern w:val="2"/>
        </w:rPr>
        <w:t>B.</w:t>
      </w:r>
      <w:r>
        <w:rPr>
          <w:rFonts w:ascii="Times New Roman" w:cs="Times New Roman"/>
          <w:bCs/>
          <w:spacing w:val="-1"/>
        </w:rPr>
        <w:t>12</w:t>
      </w:r>
      <w:r>
        <w:rPr>
          <w:rFonts w:ascii="Times New Roman" w:cs="Times New Roman"/>
        </w:rPr>
        <w:t>）</w:t>
      </w:r>
      <w:r>
        <w:t>计算</w:t>
      </w:r>
      <w:r>
        <w:rPr>
          <w:rFonts w:hint="eastAsia"/>
        </w:rPr>
        <w:t>；</w:t>
      </w:r>
    </w:p>
    <w:p>
      <w:pPr>
        <w:pStyle w:val="15"/>
        <w:spacing w:before="0" w:line="360" w:lineRule="exact"/>
        <w:ind w:firstLine="420" w:firstLineChars="200"/>
        <w:rPr>
          <w:rFonts w:cs="Times New Roman"/>
        </w:rPr>
      </w:pPr>
      <w:r>
        <w:rPr>
          <w:position w:val="-12"/>
        </w:rPr>
        <w:object>
          <v:shape id="_x0000_i1138" o:spt="75" type="#_x0000_t75" style="height:21.9pt;width:14.4pt;" o:ole="t" filled="f" o:preferrelative="t" stroked="f" coordsize="21600,21600">
            <v:path/>
            <v:fill on="f" focussize="0,0"/>
            <v:stroke on="f" joinstyle="miter"/>
            <v:imagedata r:id="rId241" o:title=""/>
            <o:lock v:ext="edit" aspectratio="t"/>
            <w10:wrap type="none"/>
            <w10:anchorlock/>
          </v:shape>
          <o:OLEObject Type="Embed" ProgID="Equation.DSMT4" ShapeID="_x0000_i1138" DrawAspect="Content" ObjectID="_1468075838" r:id="rId240">
            <o:LockedField>false</o:LockedField>
          </o:OLEObject>
        </w:object>
      </w:r>
      <w:r>
        <w:rPr>
          <w:rFonts w:hAnsi="宋体"/>
          <w:b/>
        </w:rPr>
        <w:t>——</w:t>
      </w:r>
      <w:r>
        <w:rPr>
          <w:position w:val="-6"/>
        </w:rPr>
        <w:object>
          <v:shape id="_x0000_i1139"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39" DrawAspect="Content" ObjectID="_1468075839" r:id="rId242">
            <o:LockedField>false</o:LockedField>
          </o:OLEObject>
        </w:object>
      </w:r>
      <w:r>
        <w:t>时刻高温下混凝土的平均抗压强度设计值</w:t>
      </w:r>
      <w:r>
        <w:rPr>
          <w:rFonts w:ascii="Times New Roman" w:cs="Times New Roman"/>
          <w:position w:val="-10"/>
        </w:rPr>
        <w:object>
          <v:shape id="_x0000_i1140" o:spt="75" type="#_x0000_t75" style="height:14.4pt;width:35.7pt;" o:ole="t" filled="f" o:preferrelative="t" stroked="f" coordsize="21600,21600">
            <v:path/>
            <v:fill on="f" focussize="0,0"/>
            <v:stroke on="f" joinstyle="miter"/>
            <v:imagedata r:id="rId230" o:title=""/>
            <o:lock v:ext="edit" aspectratio="t"/>
            <w10:wrap type="none"/>
            <w10:anchorlock/>
          </v:shape>
          <o:OLEObject Type="Embed" ProgID="Equation.DSMT4" ShapeID="_x0000_i1140" DrawAspect="Content" ObjectID="_1468075840" r:id="rId243">
            <o:LockedField>false</o:LockedField>
          </o:OLEObject>
        </w:object>
      </w:r>
      <w:r>
        <w:rPr>
          <w:rFonts w:hint="eastAsia" w:cs="Times New Roman"/>
        </w:rPr>
        <w:t>；</w:t>
      </w:r>
    </w:p>
    <w:p>
      <w:pPr>
        <w:pStyle w:val="15"/>
        <w:spacing w:before="0" w:line="360" w:lineRule="exact"/>
        <w:ind w:firstLine="420" w:firstLineChars="200"/>
      </w:pPr>
      <w:r>
        <w:rPr>
          <w:position w:val="-6"/>
        </w:rPr>
        <w:object>
          <v:shape id="_x0000_i1141" o:spt="75" type="#_x0000_t75" style="height:14.4pt;width:14.4pt;" o:ole="t" filled="f" o:preferrelative="t" stroked="f" coordsize="21600,21600">
            <v:path/>
            <v:fill on="f" focussize="0,0"/>
            <v:stroke on="f" joinstyle="miter"/>
            <v:imagedata r:id="rId245" o:title=""/>
            <o:lock v:ext="edit" aspectratio="t"/>
            <w10:wrap type="none"/>
            <w10:anchorlock/>
          </v:shape>
          <o:OLEObject Type="Embed" ProgID="Equation.DSMT4" ShapeID="_x0000_i1141" DrawAspect="Content" ObjectID="_1468075841" r:id="rId244">
            <o:LockedField>false</o:LockedField>
          </o:OLEObject>
        </w:object>
      </w:r>
      <w:r>
        <w:rPr>
          <w:rFonts w:hAnsi="宋体"/>
          <w:b/>
        </w:rPr>
        <w:t>——</w:t>
      </w:r>
      <w:r>
        <w:rPr>
          <w:rFonts w:hint="eastAsia" w:hAnsi="宋体"/>
        </w:rPr>
        <w:t>混凝土的平均温度，应按本规范公式</w:t>
      </w:r>
      <w:r>
        <w:rPr>
          <w:rFonts w:ascii="Times New Roman" w:cs="Times New Roman"/>
          <w:spacing w:val="-1"/>
          <w:sz w:val="24"/>
          <w:szCs w:val="24"/>
        </w:rPr>
        <w:t>（</w:t>
      </w:r>
      <w:r>
        <w:rPr>
          <w:rFonts w:ascii="Times New Roman" w:cs="Times New Roman"/>
          <w:bCs/>
          <w:spacing w:val="-1"/>
          <w:kern w:val="2"/>
        </w:rPr>
        <w:t>B.</w:t>
      </w:r>
      <w:r>
        <w:rPr>
          <w:rFonts w:ascii="Times New Roman" w:cs="Times New Roman"/>
          <w:bCs/>
          <w:spacing w:val="-1"/>
        </w:rPr>
        <w:t>17</w:t>
      </w:r>
      <w:r>
        <w:rPr>
          <w:rFonts w:ascii="Times New Roman" w:cs="Times New Roman"/>
          <w:spacing w:val="-1"/>
          <w:sz w:val="24"/>
          <w:szCs w:val="24"/>
        </w:rPr>
        <w:t>）</w:t>
      </w:r>
      <w:r>
        <w:rPr>
          <w:rFonts w:cs="Times New Roman"/>
          <w:spacing w:val="-1"/>
          <w:sz w:val="24"/>
          <w:szCs w:val="24"/>
        </w:rPr>
        <w:t>计算</w:t>
      </w:r>
      <w:r>
        <w:rPr>
          <w:rFonts w:ascii="Times New Roman" w:cs="Times New Roman"/>
          <w:position w:val="-10"/>
        </w:rPr>
        <w:object>
          <v:shape id="_x0000_i1142"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142" DrawAspect="Content" ObjectID="_1468075842" r:id="rId246">
            <o:LockedField>false</o:LockedField>
          </o:OLEObject>
        </w:object>
      </w:r>
      <w:r>
        <w:rPr>
          <w:rFonts w:hint="eastAsia" w:hAnsi="宋体"/>
        </w:rPr>
        <w:t>。</w:t>
      </w:r>
    </w:p>
    <w:p>
      <w:pPr>
        <w:ind w:firstLine="0" w:firstLineChars="0"/>
      </w:pPr>
      <w:r>
        <w:rPr>
          <w:rFonts w:ascii="黑体" w:hAnsi="黑体" w:eastAsia="黑体"/>
        </w:rPr>
        <w:t>B.1.4</w:t>
      </w:r>
      <w:r>
        <w:rPr>
          <w:rFonts w:hint="eastAsia" w:ascii="黑体" w:hAnsi="黑体" w:eastAsia="黑体"/>
        </w:rPr>
        <w:t>.</w:t>
      </w:r>
      <w:r>
        <w:rPr>
          <w:rFonts w:ascii="黑体" w:hAnsi="黑体" w:eastAsia="黑体"/>
        </w:rPr>
        <w:t>2</w:t>
      </w:r>
      <w:r>
        <w:rPr>
          <w:rFonts w:hint="eastAsia"/>
        </w:rPr>
        <w:t>　</w:t>
      </w:r>
      <w:r>
        <w:t>火灾下构件的强度承载力设计值应按</w:t>
      </w:r>
      <w:r>
        <w:rPr>
          <w:rFonts w:hint="eastAsia"/>
        </w:rPr>
        <w:t>公式</w:t>
      </w:r>
      <w:r>
        <w:rPr>
          <w:rFonts w:hint="eastAsia"/>
          <w:lang w:val="zh-CN"/>
        </w:rPr>
        <w:t>（</w:t>
      </w:r>
      <w:r>
        <w:rPr>
          <w:rFonts w:ascii="宋体" w:hAnsi="宋体" w:cs="Times New Roman"/>
          <w:bCs/>
          <w:spacing w:val="-1"/>
          <w:szCs w:val="21"/>
        </w:rPr>
        <w:t>B.25</w:t>
      </w:r>
      <w:r>
        <w:rPr>
          <w:rFonts w:hint="eastAsia"/>
          <w:lang w:val="zh-CN"/>
        </w:rPr>
        <w:t>）</w:t>
      </w:r>
      <w:r>
        <w:t>计算：</w:t>
      </w:r>
    </w:p>
    <w:p>
      <w:pPr>
        <w:spacing w:line="240" w:lineRule="auto"/>
        <w:ind w:firstLine="4410" w:firstLineChars="2100"/>
        <w:jc w:val="right"/>
      </w:pPr>
      <w:r>
        <w:rPr>
          <w:position w:val="-12"/>
        </w:rPr>
        <w:object>
          <v:shape id="_x0000_i1143" o:spt="75" type="#_x0000_t75" style="height:21.9pt;width:57.6pt;" o:ole="t" filled="f" o:preferrelative="t" stroked="f" coordsize="21600,21600">
            <v:path/>
            <v:fill on="f" focussize="0,0"/>
            <v:stroke on="f" joinstyle="miter"/>
            <v:imagedata r:id="rId248" o:title=""/>
            <o:lock v:ext="edit" aspectratio="t"/>
            <w10:wrap type="none"/>
            <w10:anchorlock/>
          </v:shape>
          <o:OLEObject Type="Embed" ProgID="Equation.DSMT4" ShapeID="_x0000_i1143" DrawAspect="Content" ObjectID="_1468075843" r:id="rId247">
            <o:LockedField>false</o:LockedField>
          </o:OLEObject>
        </w:object>
      </w:r>
      <w:r>
        <w:t xml:space="preserve">                           </w:t>
      </w:r>
      <w:r>
        <w:rPr>
          <w:rFonts w:ascii="宋体" w:hAnsi="宋体" w:cs="Times New Roman"/>
          <w:bCs/>
          <w:spacing w:val="-1"/>
          <w:szCs w:val="21"/>
        </w:rPr>
        <w:t>（B.</w:t>
      </w:r>
      <w:r>
        <w:rPr>
          <w:rFonts w:ascii="宋体" w:hAnsi="宋体"/>
          <w:bCs/>
          <w:spacing w:val="-1"/>
          <w:szCs w:val="21"/>
        </w:rPr>
        <w:t>25</w:t>
      </w:r>
      <w:r>
        <w:rPr>
          <w:rFonts w:ascii="宋体" w:hAnsi="宋体" w:cs="Times New Roman"/>
          <w:bCs/>
          <w:spacing w:val="-1"/>
          <w:szCs w:val="21"/>
        </w:rPr>
        <w:t>）</w:t>
      </w:r>
    </w:p>
    <w:p>
      <w:pPr>
        <w:ind w:firstLine="0" w:firstLineChars="0"/>
      </w:pPr>
      <w:r>
        <w:rPr>
          <w:rFonts w:ascii="黑体" w:hAnsi="黑体" w:eastAsia="黑体"/>
        </w:rPr>
        <w:t>B.1.4</w:t>
      </w:r>
      <w:r>
        <w:rPr>
          <w:rFonts w:hint="eastAsia" w:ascii="黑体" w:hAnsi="黑体" w:eastAsia="黑体"/>
        </w:rPr>
        <w:t>.</w:t>
      </w:r>
      <w:r>
        <w:rPr>
          <w:rFonts w:ascii="黑体" w:hAnsi="黑体" w:eastAsia="黑体"/>
        </w:rPr>
        <w:t>3</w:t>
      </w:r>
      <w:r>
        <w:rPr>
          <w:rFonts w:hint="eastAsia"/>
        </w:rPr>
        <w:t>　</w:t>
      </w:r>
      <w:r>
        <w:t>火灾下构件的稳定承载力设计值应按</w:t>
      </w:r>
      <w:r>
        <w:rPr>
          <w:rFonts w:hint="eastAsia"/>
        </w:rPr>
        <w:t>公式</w:t>
      </w:r>
      <w:r>
        <w:rPr>
          <w:rFonts w:hint="eastAsia"/>
          <w:lang w:val="zh-CN"/>
        </w:rPr>
        <w:t>（</w:t>
      </w:r>
      <w:r>
        <w:rPr>
          <w:rFonts w:ascii="宋体" w:hAnsi="宋体" w:cs="Times New Roman"/>
          <w:bCs/>
          <w:spacing w:val="-1"/>
          <w:szCs w:val="21"/>
        </w:rPr>
        <w:t>B.26</w:t>
      </w:r>
      <w:r>
        <w:rPr>
          <w:rFonts w:hint="eastAsia"/>
          <w:lang w:val="zh-CN"/>
        </w:rPr>
        <w:t>）-（</w:t>
      </w:r>
      <w:r>
        <w:rPr>
          <w:rFonts w:ascii="宋体" w:hAnsi="宋体"/>
          <w:bCs/>
          <w:spacing w:val="-1"/>
          <w:szCs w:val="21"/>
        </w:rPr>
        <w:t>B.29</w:t>
      </w:r>
      <w:r>
        <w:rPr>
          <w:rFonts w:hint="eastAsia"/>
          <w:lang w:val="zh-CN"/>
        </w:rPr>
        <w:t>）</w:t>
      </w:r>
      <w:r>
        <w:t>计算：</w:t>
      </w:r>
    </w:p>
    <w:p>
      <w:pPr>
        <w:spacing w:line="240" w:lineRule="auto"/>
        <w:ind w:left="1470" w:leftChars="700" w:right="-1" w:firstLine="2940" w:firstLineChars="1400"/>
        <w:jc w:val="right"/>
      </w:pPr>
      <w:r>
        <w:rPr>
          <w:position w:val="-12"/>
        </w:rPr>
        <w:object>
          <v:shape id="_x0000_i1144" o:spt="75" type="#_x0000_t75" style="height:21.9pt;width:57.6pt;" o:ole="t" filled="f" o:preferrelative="t" stroked="f" coordsize="21600,21600">
            <v:path/>
            <v:fill on="f" focussize="0,0"/>
            <v:stroke on="f" joinstyle="miter"/>
            <v:imagedata r:id="rId250" o:title=""/>
            <o:lock v:ext="edit" aspectratio="t"/>
            <w10:wrap type="none"/>
            <w10:anchorlock/>
          </v:shape>
          <o:OLEObject Type="Embed" ProgID="Equation.DSMT4" ShapeID="_x0000_i1144" DrawAspect="Content" ObjectID="_1468075844" r:id="rId249">
            <o:LockedField>false</o:LockedField>
          </o:OLEObject>
        </w:object>
      </w:r>
      <w:r>
        <w:t xml:space="preserve">                           </w:t>
      </w:r>
      <w:r>
        <w:rPr>
          <w:rFonts w:ascii="宋体" w:hAnsi="宋体" w:cs="Times New Roman"/>
          <w:bCs/>
          <w:spacing w:val="-1"/>
          <w:szCs w:val="21"/>
        </w:rPr>
        <w:t>（B.</w:t>
      </w:r>
      <w:r>
        <w:rPr>
          <w:rFonts w:ascii="宋体" w:hAnsi="宋体"/>
          <w:bCs/>
          <w:spacing w:val="-1"/>
          <w:szCs w:val="21"/>
        </w:rPr>
        <w:t>26</w:t>
      </w:r>
      <w:r>
        <w:rPr>
          <w:rFonts w:ascii="宋体" w:hAnsi="宋体" w:cs="Times New Roman"/>
          <w:bCs/>
          <w:spacing w:val="-1"/>
          <w:szCs w:val="21"/>
        </w:rPr>
        <w:t>）</w:t>
      </w:r>
      <w:r>
        <w:rPr>
          <w:position w:val="-34"/>
        </w:rPr>
        <w:object>
          <v:shape id="_x0000_i1145" o:spt="75" type="#_x0000_t75" style="height:35.7pt;width:323.7pt;" o:ole="t" filled="f" o:preferrelative="t" stroked="f" coordsize="21600,21600">
            <v:path/>
            <v:fill on="f" focussize="0,0"/>
            <v:stroke on="f" joinstyle="miter"/>
            <v:imagedata r:id="rId252" o:title=""/>
            <o:lock v:ext="edit" aspectratio="t"/>
            <w10:wrap type="none"/>
            <w10:anchorlock/>
          </v:shape>
          <o:OLEObject Type="Embed" ProgID="Equation.DSMT4" ShapeID="_x0000_i1145" DrawAspect="Content" ObjectID="_1468075845" r:id="rId251">
            <o:LockedField>false</o:LockedField>
          </o:OLEObject>
        </w:object>
      </w:r>
      <w:r>
        <w:t xml:space="preserve">    </w:t>
      </w:r>
      <w:r>
        <w:rPr>
          <w:rFonts w:ascii="宋体" w:hAnsi="宋体" w:cs="Times New Roman"/>
          <w:bCs/>
          <w:spacing w:val="-1"/>
          <w:szCs w:val="21"/>
        </w:rPr>
        <w:t>（B.</w:t>
      </w:r>
      <w:r>
        <w:rPr>
          <w:rFonts w:ascii="宋体" w:hAnsi="宋体"/>
          <w:bCs/>
          <w:spacing w:val="-1"/>
          <w:szCs w:val="21"/>
        </w:rPr>
        <w:t>27</w:t>
      </w:r>
      <w:r>
        <w:rPr>
          <w:rFonts w:ascii="宋体" w:hAnsi="宋体" w:cs="Times New Roman"/>
          <w:bCs/>
          <w:spacing w:val="-1"/>
          <w:szCs w:val="21"/>
        </w:rPr>
        <w:t>）</w:t>
      </w:r>
    </w:p>
    <w:p>
      <w:pPr>
        <w:spacing w:line="240" w:lineRule="auto"/>
        <w:ind w:right="-1" w:firstLine="3780" w:firstLineChars="1800"/>
        <w:jc w:val="right"/>
      </w:pPr>
      <w:r>
        <w:rPr>
          <w:position w:val="-12"/>
        </w:rPr>
        <w:object>
          <v:shape id="_x0000_i1146" o:spt="75" type="#_x0000_t75" style="height:21.9pt;width:107.7pt;" o:ole="t" filled="f" o:preferrelative="t" stroked="f" coordsize="21600,21600">
            <v:path/>
            <v:fill on="f" focussize="0,0"/>
            <v:stroke on="f" joinstyle="miter"/>
            <v:imagedata r:id="rId254" o:title=""/>
            <o:lock v:ext="edit" aspectratio="t"/>
            <w10:wrap type="none"/>
            <w10:anchorlock/>
          </v:shape>
          <o:OLEObject Type="Embed" ProgID="Equation.DSMT4" ShapeID="_x0000_i1146" DrawAspect="Content" ObjectID="_1468075846" r:id="rId253">
            <o:LockedField>false</o:LockedField>
          </o:OLEObject>
        </w:object>
      </w:r>
      <w:r>
        <w:t xml:space="preserve">                       </w:t>
      </w:r>
      <w:r>
        <w:rPr>
          <w:rFonts w:ascii="宋体" w:hAnsi="宋体" w:cs="Times New Roman"/>
          <w:bCs/>
          <w:spacing w:val="-1"/>
          <w:szCs w:val="21"/>
        </w:rPr>
        <w:t>（B.</w:t>
      </w:r>
      <w:r>
        <w:rPr>
          <w:rFonts w:ascii="宋体" w:hAnsi="宋体"/>
          <w:bCs/>
          <w:spacing w:val="-1"/>
          <w:szCs w:val="21"/>
        </w:rPr>
        <w:t>28</w:t>
      </w:r>
      <w:r>
        <w:rPr>
          <w:rFonts w:ascii="宋体" w:hAnsi="宋体" w:cs="Times New Roman"/>
          <w:bCs/>
          <w:spacing w:val="-1"/>
          <w:szCs w:val="21"/>
        </w:rPr>
        <w:t>）</w:t>
      </w:r>
    </w:p>
    <w:p>
      <w:pPr>
        <w:spacing w:line="240" w:lineRule="auto"/>
        <w:ind w:firstLine="4200" w:firstLineChars="2000"/>
        <w:jc w:val="right"/>
      </w:pPr>
      <w:r>
        <w:rPr>
          <w:position w:val="-12"/>
        </w:rPr>
        <w:object>
          <v:shape id="_x0000_i1147" o:spt="75" type="#_x0000_t75" style="height:28.15pt;width:72pt;" o:ole="t" filled="f" o:preferrelative="t" stroked="f" coordsize="21600,21600">
            <v:path/>
            <v:fill on="f" focussize="0,0"/>
            <v:stroke on="f" joinstyle="miter"/>
            <v:imagedata r:id="rId256" o:title=""/>
            <o:lock v:ext="edit" aspectratio="t"/>
            <w10:wrap type="none"/>
            <w10:anchorlock/>
          </v:shape>
          <o:OLEObject Type="Embed" ProgID="Equation.DSMT4" ShapeID="_x0000_i1147" DrawAspect="Content" ObjectID="_1468075847" r:id="rId255">
            <o:LockedField>false</o:LockedField>
          </o:OLEObject>
        </w:object>
      </w:r>
      <w:r>
        <w:t xml:space="preserve">                          </w:t>
      </w:r>
      <w:r>
        <w:rPr>
          <w:rFonts w:ascii="宋体" w:hAnsi="宋体" w:cs="Times New Roman"/>
          <w:bCs/>
          <w:spacing w:val="-1"/>
          <w:szCs w:val="21"/>
        </w:rPr>
        <w:t>（B.</w:t>
      </w:r>
      <w:r>
        <w:rPr>
          <w:rFonts w:ascii="宋体" w:hAnsi="宋体"/>
          <w:bCs/>
          <w:spacing w:val="-1"/>
          <w:szCs w:val="21"/>
        </w:rPr>
        <w:t>29</w:t>
      </w:r>
      <w:r>
        <w:rPr>
          <w:rFonts w:ascii="宋体" w:hAnsi="宋体" w:cs="Times New Roman"/>
          <w:bCs/>
          <w:spacing w:val="-1"/>
          <w:szCs w:val="21"/>
        </w:rPr>
        <w:t>）</w:t>
      </w:r>
    </w:p>
    <w:p>
      <w:pPr>
        <w:pStyle w:val="15"/>
        <w:spacing w:before="0" w:line="360" w:lineRule="exact"/>
        <w:ind w:left="0" w:firstLine="420"/>
      </w:pPr>
      <w:r>
        <w:rPr>
          <w:rFonts w:hint="eastAsia"/>
        </w:rPr>
        <w:t>式中：</w:t>
      </w:r>
      <w:r>
        <w:rPr>
          <w:position w:val="-12"/>
        </w:rPr>
        <w:object>
          <v:shape id="_x0000_i1148" o:spt="75" type="#_x0000_t75" style="height:21.9pt;width:21.9pt;" o:ole="t" filled="f" o:preferrelative="t" stroked="f" coordsize="21600,21600">
            <v:path/>
            <v:fill on="f" focussize="0,0"/>
            <v:stroke on="f" joinstyle="miter"/>
            <v:imagedata r:id="rId258" o:title=""/>
            <o:lock v:ext="edit" aspectratio="t"/>
            <w10:wrap type="none"/>
            <w10:anchorlock/>
          </v:shape>
          <o:OLEObject Type="Embed" ProgID="Equation.DSMT4" ShapeID="_x0000_i1148" DrawAspect="Content" ObjectID="_1468075848" r:id="rId257">
            <o:LockedField>false</o:LockedField>
          </o:OLEObject>
        </w:object>
      </w:r>
      <w:r>
        <w:rPr>
          <w:rFonts w:hAnsi="宋体"/>
          <w:b/>
        </w:rPr>
        <w:t>——</w:t>
      </w:r>
      <w:r>
        <w:rPr>
          <w:position w:val="-6"/>
        </w:rPr>
        <w:object>
          <v:shape id="_x0000_i1149"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49" DrawAspect="Content" ObjectID="_1468075849" r:id="rId259">
            <o:LockedField>false</o:LockedField>
          </o:OLEObject>
        </w:object>
      </w:r>
      <w:r>
        <w:t>时刻，</w:t>
      </w:r>
      <w:r>
        <w:rPr>
          <w:rFonts w:hint="eastAsia"/>
        </w:rPr>
        <w:t>钢管混凝土构件的稳定承载力</w:t>
      </w:r>
      <w:r>
        <w:rPr>
          <w:rFonts w:ascii="Times New Roman" w:cs="Times New Roman"/>
          <w:position w:val="-10"/>
        </w:rPr>
        <w:object>
          <v:shape id="_x0000_i1150" o:spt="75" type="#_x0000_t75" style="height:14.4pt;width:21.9pt;" o:ole="t" filled="f" o:preferrelative="t" stroked="f" coordsize="21600,21600">
            <v:path/>
            <v:fill on="f" focussize="0,0"/>
            <v:stroke on="f" joinstyle="miter"/>
            <v:imagedata r:id="rId261" o:title=""/>
            <o:lock v:ext="edit" aspectratio="t"/>
            <w10:wrap type="none"/>
            <w10:anchorlock/>
          </v:shape>
          <o:OLEObject Type="Embed" ProgID="Equation.DSMT4" ShapeID="_x0000_i1150" DrawAspect="Content" ObjectID="_1468075850" r:id="rId260">
            <o:LockedField>false</o:LockedField>
          </o:OLEObject>
        </w:object>
      </w:r>
      <w:r>
        <w:rPr>
          <w:rFonts w:hint="eastAsia"/>
        </w:rPr>
        <w:t>；</w:t>
      </w:r>
    </w:p>
    <w:p>
      <w:pPr>
        <w:pStyle w:val="15"/>
        <w:spacing w:before="0" w:line="360" w:lineRule="exact"/>
        <w:ind w:left="0" w:firstLine="630" w:firstLineChars="300"/>
      </w:pPr>
      <w:r>
        <w:rPr>
          <w:position w:val="-12"/>
        </w:rPr>
        <w:object>
          <v:shape id="_x0000_i1151" o:spt="75" type="#_x0000_t75" style="height:21.9pt;width:21.9pt;" o:ole="t" filled="f" o:preferrelative="t" stroked="f" coordsize="21600,21600">
            <v:path/>
            <v:fill on="f" focussize="0,0"/>
            <v:stroke on="f" joinstyle="miter"/>
            <v:imagedata r:id="rId263" o:title=""/>
            <o:lock v:ext="edit" aspectratio="t"/>
            <w10:wrap type="none"/>
            <w10:anchorlock/>
          </v:shape>
          <o:OLEObject Type="Embed" ProgID="Equation.DSMT4" ShapeID="_x0000_i1151" DrawAspect="Content" ObjectID="_1468075851" r:id="rId262">
            <o:LockedField>false</o:LockedField>
          </o:OLEObject>
        </w:object>
      </w:r>
      <w:r>
        <w:rPr>
          <w:rFonts w:hAnsi="宋体"/>
          <w:b/>
        </w:rPr>
        <w:t>——</w:t>
      </w:r>
      <w:r>
        <w:rPr>
          <w:position w:val="-6"/>
        </w:rPr>
        <w:object>
          <v:shape id="_x0000_i1152"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52" DrawAspect="Content" ObjectID="_1468075852" r:id="rId264">
            <o:LockedField>false</o:LockedField>
          </o:OLEObject>
        </w:object>
      </w:r>
      <w:r>
        <w:t>时刻，</w:t>
      </w:r>
      <w:r>
        <w:rPr>
          <w:rFonts w:hint="eastAsia"/>
        </w:rPr>
        <w:t>钢管混凝土构件的强度承载力</w:t>
      </w:r>
      <w:r>
        <w:rPr>
          <w:rFonts w:ascii="Times New Roman" w:cs="Times New Roman"/>
          <w:position w:val="-10"/>
        </w:rPr>
        <w:object>
          <v:shape id="_x0000_i1153" o:spt="75" type="#_x0000_t75" style="height:14.4pt;width:21.9pt;" o:ole="t" filled="f" o:preferrelative="t" stroked="f" coordsize="21600,21600">
            <v:path/>
            <v:fill on="f" focussize="0,0"/>
            <v:stroke on="f" joinstyle="miter"/>
            <v:imagedata r:id="rId261" o:title=""/>
            <o:lock v:ext="edit" aspectratio="t"/>
            <w10:wrap type="none"/>
            <w10:anchorlock/>
          </v:shape>
          <o:OLEObject Type="Embed" ProgID="Equation.DSMT4" ShapeID="_x0000_i1153" DrawAspect="Content" ObjectID="_1468075853" r:id="rId265">
            <o:LockedField>false</o:LockedField>
          </o:OLEObject>
        </w:object>
      </w:r>
      <w:r>
        <w:rPr>
          <w:rFonts w:hint="eastAsia"/>
        </w:rPr>
        <w:t>；</w:t>
      </w:r>
    </w:p>
    <w:p>
      <w:pPr>
        <w:pStyle w:val="15"/>
        <w:spacing w:before="0" w:line="360" w:lineRule="exact"/>
        <w:ind w:left="0" w:firstLine="630" w:firstLineChars="300"/>
        <w:rPr>
          <w:rFonts w:cs="Times New Roman"/>
        </w:rPr>
      </w:pPr>
      <w:r>
        <w:rPr>
          <w:position w:val="-12"/>
        </w:rPr>
        <w:object>
          <v:shape id="_x0000_i1154" o:spt="75" type="#_x0000_t75" style="height:14.4pt;width:14.4pt;" o:ole="t" filled="f" o:preferrelative="t" stroked="f" coordsize="21600,21600">
            <v:path/>
            <v:fill on="f" focussize="0,0"/>
            <v:stroke on="f" joinstyle="miter"/>
            <v:imagedata r:id="rId267" o:title=""/>
            <o:lock v:ext="edit" aspectratio="t"/>
            <w10:wrap type="none"/>
            <w10:anchorlock/>
          </v:shape>
          <o:OLEObject Type="Embed" ProgID="Equation.DSMT4" ShapeID="_x0000_i1154" DrawAspect="Content" ObjectID="_1468075854" r:id="rId266">
            <o:LockedField>false</o:LockedField>
          </o:OLEObject>
        </w:object>
      </w:r>
      <w:r>
        <w:rPr>
          <w:rFonts w:hAnsi="宋体"/>
          <w:b/>
        </w:rPr>
        <w:t>——</w:t>
      </w:r>
      <w:r>
        <w:rPr>
          <w:position w:val="-6"/>
        </w:rPr>
        <w:object>
          <v:shape id="_x0000_i1155"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55" DrawAspect="Content" ObjectID="_1468075855" r:id="rId268">
            <o:LockedField>false</o:LockedField>
          </o:OLEObject>
        </w:object>
      </w:r>
      <w:r>
        <w:t>时刻，</w:t>
      </w:r>
      <w:r>
        <w:rPr>
          <w:rFonts w:hint="eastAsia"/>
        </w:rPr>
        <w:t>钢管混凝土构件高温下的稳定系数</w:t>
      </w:r>
      <w:r>
        <w:rPr>
          <w:rFonts w:hint="eastAsia" w:cs="Times New Roman"/>
        </w:rPr>
        <w:t>；</w:t>
      </w:r>
    </w:p>
    <w:p>
      <w:pPr>
        <w:pStyle w:val="15"/>
        <w:spacing w:before="0"/>
        <w:ind w:left="0" w:firstLine="630" w:firstLineChars="300"/>
        <w:rPr>
          <w:rFonts w:cs="Times New Roman"/>
        </w:rPr>
      </w:pPr>
      <w:r>
        <w:rPr>
          <w:position w:val="-6"/>
        </w:rPr>
        <w:object>
          <v:shape id="_x0000_i1156" o:spt="75" type="#_x0000_t75" style="height:21.9pt;width:14.4pt;" o:ole="t" filled="f" o:preferrelative="t" stroked="f" coordsize="21600,21600">
            <v:path/>
            <v:fill on="f" focussize="0,0"/>
            <v:stroke on="f" joinstyle="miter"/>
            <v:imagedata r:id="rId270" o:title=""/>
            <o:lock v:ext="edit" aspectratio="t"/>
            <w10:wrap type="none"/>
            <w10:anchorlock/>
          </v:shape>
          <o:OLEObject Type="Embed" ProgID="Equation.DSMT4" ShapeID="_x0000_i1156" DrawAspect="Content" ObjectID="_1468075856" r:id="rId269">
            <o:LockedField>false</o:LockedField>
          </o:OLEObject>
        </w:object>
      </w:r>
      <w:r>
        <w:rPr>
          <w:rFonts w:hAnsi="宋体"/>
          <w:b/>
        </w:rPr>
        <w:t>——</w:t>
      </w:r>
      <w:r>
        <w:rPr>
          <w:rFonts w:hint="eastAsia"/>
        </w:rPr>
        <w:t>高温下的正则长细比，</w:t>
      </w:r>
      <w:r>
        <w:rPr>
          <w:position w:val="-32"/>
        </w:rPr>
        <w:object>
          <v:shape id="_x0000_i1157" o:spt="75" type="#_x0000_t75" style="height:43.85pt;width:72pt;" o:ole="t" filled="f" o:preferrelative="t" stroked="f" coordsize="21600,21600">
            <v:path/>
            <v:fill on="f" focussize="0,0"/>
            <v:stroke on="f" joinstyle="miter"/>
            <v:imagedata r:id="rId272" o:title=""/>
            <o:lock v:ext="edit" aspectratio="t"/>
            <w10:wrap type="none"/>
            <w10:anchorlock/>
          </v:shape>
          <o:OLEObject Type="Embed" ProgID="Equation.DSMT4" ShapeID="_x0000_i1157" DrawAspect="Content" ObjectID="_1468075857" r:id="rId271">
            <o:LockedField>false</o:LockedField>
          </o:OLEObject>
        </w:object>
      </w:r>
      <w:r>
        <w:rPr>
          <w:rFonts w:hint="eastAsia" w:cs="Times New Roman"/>
        </w:rPr>
        <w:t>；</w:t>
      </w:r>
    </w:p>
    <w:p>
      <w:pPr>
        <w:pStyle w:val="15"/>
        <w:spacing w:before="0" w:line="360" w:lineRule="exact"/>
        <w:ind w:left="0" w:firstLine="630" w:firstLineChars="300"/>
      </w:pPr>
      <w:r>
        <w:rPr>
          <w:position w:val="-12"/>
        </w:rPr>
        <w:object>
          <v:shape id="_x0000_i1158" o:spt="75" type="#_x0000_t75" style="height:14.4pt;width:14.4pt;" o:ole="t" filled="f" o:preferrelative="t" stroked="f" coordsize="21600,21600">
            <v:path/>
            <v:fill on="f" focussize="0,0"/>
            <v:stroke on="f" joinstyle="miter"/>
            <v:imagedata r:id="rId274" o:title=""/>
            <o:lock v:ext="edit" aspectratio="t"/>
            <w10:wrap type="none"/>
            <w10:anchorlock/>
          </v:shape>
          <o:OLEObject Type="Embed" ProgID="Equation.DSMT4" ShapeID="_x0000_i1158" DrawAspect="Content" ObjectID="_1468075858" r:id="rId273">
            <o:LockedField>false</o:LockedField>
          </o:OLEObject>
        </w:object>
      </w:r>
      <w:r>
        <w:rPr>
          <w:rFonts w:hAnsi="宋体"/>
          <w:b/>
        </w:rPr>
        <w:t>——</w:t>
      </w:r>
      <w:r>
        <w:rPr>
          <w:rFonts w:hint="eastAsia"/>
        </w:rPr>
        <w:t>构件的长细比；</w:t>
      </w:r>
    </w:p>
    <w:p>
      <w:pPr>
        <w:pStyle w:val="15"/>
        <w:spacing w:before="0" w:line="360" w:lineRule="exact"/>
        <w:ind w:left="1470" w:leftChars="300" w:hanging="840" w:hangingChars="400"/>
        <w:rPr>
          <w:rFonts w:cs="Times New Roman"/>
        </w:rPr>
      </w:pPr>
      <w:r>
        <w:rPr>
          <w:position w:val="-12"/>
        </w:rPr>
        <w:object>
          <v:shape id="_x0000_i1159" o:spt="75" type="#_x0000_t75" style="height:21.9pt;width:14.4pt;" o:ole="t" filled="f" o:preferrelative="t" stroked="f" coordsize="21600,21600">
            <v:path/>
            <v:fill on="f" focussize="0,0"/>
            <v:stroke on="f" joinstyle="miter"/>
            <v:imagedata r:id="rId276" o:title=""/>
            <o:lock v:ext="edit" aspectratio="t"/>
            <w10:wrap type="none"/>
            <w10:anchorlock/>
          </v:shape>
          <o:OLEObject Type="Embed" ProgID="Equation.DSMT4" ShapeID="_x0000_i1159" DrawAspect="Content" ObjectID="_1468075859" r:id="rId275">
            <o:LockedField>false</o:LockedField>
          </o:OLEObject>
        </w:object>
      </w:r>
      <w:r>
        <w:rPr>
          <w:rFonts w:hAnsi="宋体"/>
          <w:b/>
        </w:rPr>
        <w:t>——</w:t>
      </w:r>
      <w:r>
        <w:rPr>
          <w:position w:val="-6"/>
        </w:rPr>
        <w:object>
          <v:shape id="_x0000_i1160"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60" DrawAspect="Content" ObjectID="_1468075860" r:id="rId277">
            <o:LockedField>false</o:LockedField>
          </o:OLEObject>
        </w:object>
      </w:r>
      <w:r>
        <w:t>时刻，</w:t>
      </w:r>
      <w:r>
        <w:rPr>
          <w:rFonts w:hint="eastAsia"/>
        </w:rPr>
        <w:t>钢管混凝土构件的抗压强度设计值，应按本规范公式</w:t>
      </w:r>
      <w:r>
        <w:rPr>
          <w:rFonts w:ascii="Times New Roman" w:cs="Times New Roman"/>
          <w:spacing w:val="-1"/>
          <w:sz w:val="24"/>
          <w:szCs w:val="24"/>
        </w:rPr>
        <w:t>（</w:t>
      </w:r>
      <w:r>
        <w:rPr>
          <w:rFonts w:ascii="Times New Roman" w:cs="Times New Roman"/>
          <w:bCs/>
          <w:spacing w:val="-1"/>
          <w:kern w:val="2"/>
        </w:rPr>
        <w:t>B.</w:t>
      </w:r>
      <w:r>
        <w:rPr>
          <w:rFonts w:ascii="Times New Roman" w:cs="Times New Roman"/>
          <w:bCs/>
          <w:spacing w:val="-1"/>
        </w:rPr>
        <w:t>22</w:t>
      </w:r>
      <w:r>
        <w:rPr>
          <w:rFonts w:ascii="Times New Roman" w:cs="Times New Roman"/>
          <w:spacing w:val="-1"/>
          <w:sz w:val="24"/>
          <w:szCs w:val="24"/>
        </w:rPr>
        <w:t>）</w:t>
      </w:r>
      <w:r>
        <w:rPr>
          <w:rFonts w:hint="eastAsia"/>
        </w:rPr>
        <w:t>计算</w:t>
      </w:r>
      <w:r>
        <w:rPr>
          <w:rFonts w:ascii="Times New Roman" w:cs="Times New Roman"/>
          <w:position w:val="-10"/>
        </w:rPr>
        <w:object>
          <v:shape id="_x0000_i1161" o:spt="75" type="#_x0000_t75" style="height:14.4pt;width:35.7pt;" o:ole="t" filled="f" o:preferrelative="t" stroked="f" coordsize="21600,21600">
            <v:path/>
            <v:fill on="f" focussize="0,0"/>
            <v:stroke on="f" joinstyle="miter"/>
            <v:imagedata r:id="rId230" o:title=""/>
            <o:lock v:ext="edit" aspectratio="t"/>
            <w10:wrap type="none"/>
            <w10:anchorlock/>
          </v:shape>
          <o:OLEObject Type="Embed" ProgID="Equation.DSMT4" ShapeID="_x0000_i1161" DrawAspect="Content" ObjectID="_1468075861" r:id="rId278">
            <o:LockedField>false</o:LockedField>
          </o:OLEObject>
        </w:object>
      </w:r>
      <w:r>
        <w:rPr>
          <w:rFonts w:hint="eastAsia" w:cs="Times New Roman"/>
        </w:rPr>
        <w:t>；</w:t>
      </w:r>
    </w:p>
    <w:p>
      <w:pPr>
        <w:pStyle w:val="15"/>
        <w:spacing w:before="0" w:line="360" w:lineRule="exact"/>
        <w:ind w:left="0" w:firstLine="630" w:firstLineChars="300"/>
        <w:rPr>
          <w:rFonts w:cs="Times New Roman"/>
        </w:rPr>
      </w:pPr>
      <w:r>
        <w:rPr>
          <w:position w:val="-12"/>
        </w:rPr>
        <w:object>
          <v:shape id="_x0000_i1162" o:spt="75" type="#_x0000_t75" style="height:14.4pt;width:14.4pt;" o:ole="t" filled="f" o:preferrelative="t" stroked="f" coordsize="21600,21600">
            <v:path/>
            <v:fill on="f" focussize="0,0"/>
            <v:stroke on="f" joinstyle="miter"/>
            <v:imagedata r:id="rId280" o:title=""/>
            <o:lock v:ext="edit" aspectratio="t"/>
            <w10:wrap type="none"/>
            <w10:anchorlock/>
          </v:shape>
          <o:OLEObject Type="Embed" ProgID="Equation.DSMT4" ShapeID="_x0000_i1162" DrawAspect="Content" ObjectID="_1468075862" r:id="rId279">
            <o:LockedField>false</o:LockedField>
          </o:OLEObject>
        </w:object>
      </w:r>
      <w:r>
        <w:rPr>
          <w:rFonts w:hAnsi="宋体"/>
          <w:b/>
        </w:rPr>
        <w:t>——</w:t>
      </w:r>
      <w:r>
        <w:rPr>
          <w:rFonts w:hint="eastAsia" w:hAnsi="宋体"/>
        </w:rPr>
        <w:t>钢管混凝土构件的截面积，等于钢管和混凝土截面面积之和</w:t>
      </w:r>
      <w:r>
        <w:rPr>
          <w:rFonts w:cs="Times New Roman"/>
          <w:position w:val="-10"/>
        </w:rPr>
        <w:object>
          <v:shape id="_x0000_i1163" o:spt="75" type="#_x0000_t75" style="height:14.4pt;width:35.7pt;" o:ole="t" filled="f" o:preferrelative="t" stroked="f" coordsize="21600,21600">
            <v:path/>
            <v:fill on="f" focussize="0,0"/>
            <v:stroke on="f" joinstyle="miter"/>
            <v:imagedata r:id="rId236" o:title=""/>
            <o:lock v:ext="edit" aspectratio="t"/>
            <w10:wrap type="none"/>
            <w10:anchorlock/>
          </v:shape>
          <o:OLEObject Type="Embed" ProgID="Equation.DSMT4" ShapeID="_x0000_i1163" DrawAspect="Content" ObjectID="_1468075863" r:id="rId281">
            <o:LockedField>false</o:LockedField>
          </o:OLEObject>
        </w:object>
      </w:r>
      <w:r>
        <w:rPr>
          <w:rFonts w:hint="eastAsia" w:cs="Times New Roman"/>
        </w:rPr>
        <w:t>；</w:t>
      </w:r>
    </w:p>
    <w:p>
      <w:pPr>
        <w:pStyle w:val="15"/>
        <w:spacing w:before="0" w:line="360" w:lineRule="exact"/>
        <w:ind w:left="0" w:firstLine="630" w:firstLineChars="300"/>
      </w:pPr>
      <w:r>
        <w:rPr>
          <w:position w:val="-12"/>
        </w:rPr>
        <w:object>
          <v:shape id="_x0000_i1164" o:spt="75" type="#_x0000_t75" style="height:21.9pt;width:14.4pt;" o:ole="t" filled="f" o:preferrelative="t" stroked="f" coordsize="21600,21600">
            <v:path/>
            <v:fill on="f" focussize="0,0"/>
            <v:stroke on="f" joinstyle="miter"/>
            <v:imagedata r:id="rId283" o:title=""/>
            <o:lock v:ext="edit" aspectratio="t"/>
            <w10:wrap type="none"/>
            <w10:anchorlock/>
          </v:shape>
          <o:OLEObject Type="Embed" ProgID="Equation.DSMT4" ShapeID="_x0000_i1164" DrawAspect="Content" ObjectID="_1468075864" r:id="rId282">
            <o:LockedField>false</o:LockedField>
          </o:OLEObject>
        </w:object>
      </w:r>
      <w:r>
        <w:rPr>
          <w:rFonts w:hAnsi="宋体"/>
          <w:b/>
        </w:rPr>
        <w:t>——</w:t>
      </w:r>
      <w:r>
        <w:rPr>
          <w:position w:val="-6"/>
        </w:rPr>
        <w:object>
          <v:shape id="_x0000_i1165"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65" DrawAspect="Content" ObjectID="_1468075865" r:id="rId284">
            <o:LockedField>false</o:LockedField>
          </o:OLEObject>
        </w:object>
      </w:r>
      <w:r>
        <w:t>时刻，</w:t>
      </w:r>
      <w:r>
        <w:rPr>
          <w:rFonts w:hint="eastAsia"/>
        </w:rPr>
        <w:t>钢管混凝土构件的弹性模量</w:t>
      </w:r>
      <w:r>
        <w:rPr>
          <w:rFonts w:ascii="Times New Roman" w:cs="Times New Roman"/>
          <w:position w:val="-10"/>
        </w:rPr>
        <w:object>
          <v:shape id="_x0000_i1166" o:spt="75" type="#_x0000_t75" style="height:14.4pt;width:35.7pt;" o:ole="t" filled="f" o:preferrelative="t" stroked="f" coordsize="21600,21600">
            <v:path/>
            <v:fill on="f" focussize="0,0"/>
            <v:stroke on="f" joinstyle="miter"/>
            <v:imagedata r:id="rId230" o:title=""/>
            <o:lock v:ext="edit" aspectratio="t"/>
            <w10:wrap type="none"/>
            <w10:anchorlock/>
          </v:shape>
          <o:OLEObject Type="Embed" ProgID="Equation.DSMT4" ShapeID="_x0000_i1166" DrawAspect="Content" ObjectID="_1468075866" r:id="rId285">
            <o:LockedField>false</o:LockedField>
          </o:OLEObject>
        </w:object>
      </w:r>
      <w:r>
        <w:rPr>
          <w:rFonts w:hint="eastAsia"/>
        </w:rPr>
        <w:t>；</w:t>
      </w:r>
    </w:p>
    <w:p>
      <w:pPr>
        <w:pStyle w:val="15"/>
        <w:spacing w:before="0" w:line="360" w:lineRule="exact"/>
        <w:ind w:firstLine="420" w:firstLineChars="200"/>
      </w:pPr>
      <w:r>
        <w:rPr>
          <w:position w:val="-12"/>
        </w:rPr>
        <w:object>
          <v:shape id="_x0000_i1167" o:spt="75" type="#_x0000_t75" style="height:21.9pt;width:14.4pt;" o:ole="t" filled="f" o:preferrelative="t" stroked="f" coordsize="21600,21600">
            <v:path/>
            <v:fill on="f" focussize="0,0"/>
            <v:stroke on="f" joinstyle="miter"/>
            <v:imagedata r:id="rId287" o:title=""/>
            <o:lock v:ext="edit" aspectratio="t"/>
            <w10:wrap type="none"/>
            <w10:anchorlock/>
          </v:shape>
          <o:OLEObject Type="Embed" ProgID="Equation.DSMT4" ShapeID="_x0000_i1167" DrawAspect="Content" ObjectID="_1468075867" r:id="rId286">
            <o:LockedField>false</o:LockedField>
          </o:OLEObject>
        </w:object>
      </w:r>
      <w:r>
        <w:rPr>
          <w:rFonts w:hAnsi="宋体"/>
          <w:b/>
        </w:rPr>
        <w:t>——</w:t>
      </w:r>
      <w:r>
        <w:rPr>
          <w:position w:val="-6"/>
        </w:rPr>
        <w:object>
          <v:shape id="_x0000_i1168"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68" DrawAspect="Content" ObjectID="_1468075868" r:id="rId288">
            <o:LockedField>false</o:LockedField>
          </o:OLEObject>
        </w:object>
      </w:r>
      <w:r>
        <w:t>时刻，</w:t>
      </w:r>
      <w:r>
        <w:rPr>
          <w:rFonts w:hint="eastAsia"/>
        </w:rPr>
        <w:t>高温下钢材弹性模量</w:t>
      </w:r>
      <w:r>
        <w:rPr>
          <w:rFonts w:ascii="Times New Roman" w:cs="Times New Roman"/>
          <w:position w:val="-10"/>
        </w:rPr>
        <w:object>
          <v:shape id="_x0000_i1169" o:spt="75" type="#_x0000_t75" style="height:14.4pt;width:35.7pt;" o:ole="t" filled="f" o:preferrelative="t" stroked="f" coordsize="21600,21600">
            <v:path/>
            <v:fill on="f" focussize="0,0"/>
            <v:stroke on="f" joinstyle="miter"/>
            <v:imagedata r:id="rId230" o:title=""/>
            <o:lock v:ext="edit" aspectratio="t"/>
            <w10:wrap type="none"/>
            <w10:anchorlock/>
          </v:shape>
          <o:OLEObject Type="Embed" ProgID="Equation.DSMT4" ShapeID="_x0000_i1169" DrawAspect="Content" ObjectID="_1468075869" r:id="rId289">
            <o:LockedField>false</o:LockedField>
          </o:OLEObject>
        </w:object>
      </w:r>
      <w:r>
        <w:rPr>
          <w:rFonts w:hint="eastAsia"/>
        </w:rPr>
        <w:t>；应按</w:t>
      </w:r>
      <w:r>
        <w:t>本规范公式</w:t>
      </w:r>
      <w:r>
        <w:rPr>
          <w:rFonts w:ascii="Times New Roman" w:cs="Times New Roman"/>
        </w:rPr>
        <w:t>（</w:t>
      </w:r>
      <w:r>
        <w:rPr>
          <w:rFonts w:ascii="Times New Roman" w:cs="Times New Roman"/>
          <w:bCs/>
          <w:spacing w:val="-1"/>
          <w:kern w:val="2"/>
        </w:rPr>
        <w:t>B.3</w:t>
      </w:r>
      <w:r>
        <w:rPr>
          <w:rFonts w:ascii="Times New Roman" w:cs="Times New Roman"/>
        </w:rPr>
        <w:t>）</w:t>
      </w:r>
      <w:r>
        <w:t>计算，其中温度应</w:t>
      </w:r>
    </w:p>
    <w:p>
      <w:pPr>
        <w:pStyle w:val="15"/>
        <w:spacing w:before="0" w:line="360" w:lineRule="exact"/>
        <w:ind w:left="0" w:firstLine="1260" w:firstLineChars="600"/>
      </w:pPr>
      <w:r>
        <w:t>按本规范公式</w:t>
      </w:r>
      <w:r>
        <w:rPr>
          <w:rFonts w:ascii="Times New Roman" w:cs="Times New Roman"/>
        </w:rPr>
        <w:t>（</w:t>
      </w:r>
      <w:r>
        <w:rPr>
          <w:rFonts w:ascii="Times New Roman" w:cs="Times New Roman"/>
          <w:bCs/>
          <w:spacing w:val="-1"/>
          <w:kern w:val="2"/>
        </w:rPr>
        <w:t>B.</w:t>
      </w:r>
      <w:r>
        <w:rPr>
          <w:rFonts w:ascii="Times New Roman" w:cs="Times New Roman"/>
          <w:bCs/>
          <w:spacing w:val="-1"/>
        </w:rPr>
        <w:t>12</w:t>
      </w:r>
      <w:r>
        <w:rPr>
          <w:rFonts w:ascii="Times New Roman" w:cs="Times New Roman"/>
        </w:rPr>
        <w:t>）</w:t>
      </w:r>
      <w:r>
        <w:t>计算</w:t>
      </w:r>
      <w:r>
        <w:rPr>
          <w:rFonts w:hint="eastAsia"/>
        </w:rPr>
        <w:t>；</w:t>
      </w:r>
    </w:p>
    <w:p>
      <w:pPr>
        <w:pStyle w:val="15"/>
        <w:spacing w:before="0" w:line="360" w:lineRule="exact"/>
        <w:ind w:firstLine="420" w:firstLineChars="200"/>
        <w:rPr>
          <w:rFonts w:cs="Times New Roman"/>
        </w:rPr>
      </w:pPr>
      <w:r>
        <w:rPr>
          <w:position w:val="-6"/>
        </w:rPr>
        <w:object>
          <v:shape id="_x0000_i1170" o:spt="75" type="#_x0000_t75" style="height:21.9pt;width:14.4pt;" o:ole="t" filled="f" o:preferrelative="t" stroked="f" coordsize="21600,21600">
            <v:path/>
            <v:fill on="f" focussize="0,0"/>
            <v:stroke on="f" joinstyle="miter"/>
            <v:imagedata r:id="rId291" o:title=""/>
            <o:lock v:ext="edit" aspectratio="t"/>
            <w10:wrap type="none"/>
            <w10:anchorlock/>
          </v:shape>
          <o:OLEObject Type="Embed" ProgID="Equation.DSMT4" ShapeID="_x0000_i1170" DrawAspect="Content" ObjectID="_1468075870" r:id="rId290">
            <o:LockedField>false</o:LockedField>
          </o:OLEObject>
        </w:object>
      </w:r>
      <w:r>
        <w:rPr>
          <w:rFonts w:hAnsi="宋体"/>
          <w:b/>
        </w:rPr>
        <w:t>——</w:t>
      </w:r>
      <w:r>
        <w:rPr>
          <w:position w:val="-6"/>
        </w:rPr>
        <w:object>
          <v:shape id="_x0000_i1171" o:spt="75" type="#_x0000_t75" style="height:14.4pt;width:7.5pt;" o:ole="t" filled="f" o:preferrelative="t" stroked="f" coordsize="21600,21600">
            <v:path/>
            <v:fill on="f" focussize="0,0"/>
            <v:stroke on="f" joinstyle="miter"/>
            <v:imagedata r:id="rId189" o:title=""/>
            <o:lock v:ext="edit" aspectratio="t"/>
            <w10:wrap type="none"/>
            <w10:anchorlock/>
          </v:shape>
          <o:OLEObject Type="Embed" ProgID="Equation.DSMT4" ShapeID="_x0000_i1171" DrawAspect="Content" ObjectID="_1468075871" r:id="rId292">
            <o:LockedField>false</o:LockedField>
          </o:OLEObject>
        </w:object>
      </w:r>
      <w:r>
        <w:t>时刻，高温下混凝土的平均</w:t>
      </w:r>
      <w:r>
        <w:rPr>
          <w:rFonts w:hint="eastAsia"/>
        </w:rPr>
        <w:t>弹性模量</w:t>
      </w:r>
      <w:r>
        <w:t>，考虑温度的不均匀性</w:t>
      </w:r>
      <w:r>
        <w:rPr>
          <w:rFonts w:ascii="Times New Roman" w:cs="Times New Roman"/>
          <w:position w:val="-10"/>
        </w:rPr>
        <w:object>
          <v:shape id="_x0000_i1172" o:spt="75" type="#_x0000_t75" style="height:14.4pt;width:35.7pt;" o:ole="t" filled="f" o:preferrelative="t" stroked="f" coordsize="21600,21600">
            <v:path/>
            <v:fill on="f" focussize="0,0"/>
            <v:stroke on="f" joinstyle="miter"/>
            <v:imagedata r:id="rId230" o:title=""/>
            <o:lock v:ext="edit" aspectratio="t"/>
            <w10:wrap type="none"/>
            <w10:anchorlock/>
          </v:shape>
          <o:OLEObject Type="Embed" ProgID="Equation.DSMT4" ShapeID="_x0000_i1172" DrawAspect="Content" ObjectID="_1468075872" r:id="rId293">
            <o:LockedField>false</o:LockedField>
          </o:OLEObject>
        </w:object>
      </w:r>
      <w:r>
        <w:rPr>
          <w:rFonts w:hint="eastAsia" w:cs="Times New Roman"/>
        </w:rPr>
        <w:t>；</w:t>
      </w:r>
    </w:p>
    <w:p>
      <w:pPr>
        <w:spacing w:line="360" w:lineRule="exact"/>
        <w:ind w:firstLine="630" w:firstLineChars="300"/>
      </w:pPr>
      <w:r>
        <w:rPr>
          <w:position w:val="-6"/>
        </w:rPr>
        <w:object>
          <v:shape id="_x0000_i1173" o:spt="75" type="#_x0000_t75" style="height:14.4pt;width:14.4pt;" o:ole="t" filled="f" o:preferrelative="t" stroked="f" coordsize="21600,21600">
            <v:path/>
            <v:fill on="f" focussize="0,0"/>
            <v:stroke on="f" joinstyle="miter"/>
            <v:imagedata r:id="rId245" o:title=""/>
            <o:lock v:ext="edit" aspectratio="t"/>
            <w10:wrap type="none"/>
            <w10:anchorlock/>
          </v:shape>
          <o:OLEObject Type="Embed" ProgID="Equation.DSMT4" ShapeID="_x0000_i1173" DrawAspect="Content" ObjectID="_1468075873" r:id="rId294">
            <o:LockedField>false</o:LockedField>
          </o:OLEObject>
        </w:object>
      </w:r>
      <w:r>
        <w:rPr>
          <w:rFonts w:hAnsi="宋体"/>
          <w:b/>
        </w:rPr>
        <w:t>——</w:t>
      </w:r>
      <w:r>
        <w:rPr>
          <w:rFonts w:hint="eastAsia" w:hAnsi="宋体"/>
        </w:rPr>
        <w:t>混凝土的平均温度，应按本规范公式</w:t>
      </w:r>
      <w:r>
        <w:rPr>
          <w:rFonts w:cs="Times New Roman"/>
          <w:spacing w:val="-1"/>
          <w:sz w:val="24"/>
          <w:szCs w:val="24"/>
        </w:rPr>
        <w:t>（</w:t>
      </w:r>
      <w:r>
        <w:rPr>
          <w:rFonts w:cs="Times New Roman"/>
          <w:bCs/>
          <w:spacing w:val="-1"/>
          <w:szCs w:val="21"/>
        </w:rPr>
        <w:t>B.17</w:t>
      </w:r>
      <w:r>
        <w:rPr>
          <w:rFonts w:cs="Times New Roman"/>
          <w:spacing w:val="-1"/>
          <w:sz w:val="24"/>
          <w:szCs w:val="24"/>
        </w:rPr>
        <w:t>）计算</w:t>
      </w:r>
      <w:r>
        <w:rPr>
          <w:rFonts w:cs="Times New Roman"/>
          <w:position w:val="-10"/>
        </w:rPr>
        <w:object>
          <v:shape id="_x0000_i1174" o:spt="75" type="#_x0000_t75" style="height:14.4pt;width:21.9pt;" o:ole="t" filled="f" o:preferrelative="t" stroked="f" coordsize="21600,21600">
            <v:path/>
            <v:fill on="f" focussize="0,0"/>
            <v:stroke on="f" joinstyle="miter"/>
            <v:imagedata r:id="rId121" o:title=""/>
            <o:lock v:ext="edit" aspectratio="t"/>
            <w10:wrap type="none"/>
            <w10:anchorlock/>
          </v:shape>
          <o:OLEObject Type="Embed" ProgID="Equation.DSMT4" ShapeID="_x0000_i1174" DrawAspect="Content" ObjectID="_1468075874" r:id="rId295">
            <o:LockedField>false</o:LockedField>
          </o:OLEObject>
        </w:object>
      </w:r>
      <w:r>
        <w:rPr>
          <w:rFonts w:hint="eastAsia" w:hAnsi="宋体"/>
        </w:rPr>
        <w:t>。</w:t>
      </w:r>
    </w:p>
    <w:p>
      <w:pPr>
        <w:ind w:firstLine="0" w:firstLineChars="0"/>
      </w:pPr>
      <w:bookmarkStart w:id="259" w:name="_Toc25873"/>
      <w:r>
        <w:rPr>
          <w:rFonts w:ascii="黑体" w:hAnsi="黑体" w:eastAsia="黑体"/>
        </w:rPr>
        <w:t>B.1.4</w:t>
      </w:r>
      <w:r>
        <w:rPr>
          <w:rFonts w:hint="eastAsia" w:ascii="黑体" w:hAnsi="黑体" w:eastAsia="黑体"/>
        </w:rPr>
        <w:t>.</w:t>
      </w:r>
      <w:r>
        <w:rPr>
          <w:rFonts w:ascii="黑体" w:hAnsi="黑体" w:eastAsia="黑体"/>
        </w:rPr>
        <w:t>4</w:t>
      </w:r>
      <w:r>
        <w:rPr>
          <w:rFonts w:hint="eastAsia"/>
        </w:rPr>
        <w:t>　</w:t>
      </w:r>
      <w:r>
        <w:t>火灾下构件的承载力应符合</w:t>
      </w:r>
      <w:r>
        <w:rPr>
          <w:rFonts w:hint="eastAsia"/>
        </w:rPr>
        <w:t>公式</w:t>
      </w:r>
      <w:r>
        <w:rPr>
          <w:rFonts w:hint="eastAsia"/>
          <w:lang w:val="zh-CN"/>
        </w:rPr>
        <w:t>（</w:t>
      </w:r>
      <w:r>
        <w:rPr>
          <w:rFonts w:ascii="宋体" w:hAnsi="宋体" w:cs="Times New Roman"/>
          <w:bCs/>
          <w:spacing w:val="-1"/>
          <w:szCs w:val="21"/>
        </w:rPr>
        <w:t>B.30</w:t>
      </w:r>
      <w:r>
        <w:rPr>
          <w:rFonts w:hint="eastAsia"/>
          <w:lang w:val="zh-CN"/>
        </w:rPr>
        <w:t>）</w:t>
      </w:r>
      <w:r>
        <w:t>规定：</w:t>
      </w:r>
      <w:bookmarkEnd w:id="259"/>
    </w:p>
    <w:p>
      <w:pPr>
        <w:spacing w:line="240" w:lineRule="auto"/>
        <w:ind w:right="210" w:firstLine="3990" w:firstLineChars="1900"/>
        <w:jc w:val="right"/>
      </w:pPr>
      <w:r>
        <w:rPr>
          <w:position w:val="-12"/>
        </w:rPr>
        <w:object>
          <v:shape id="_x0000_i1175" o:spt="75" type="#_x0000_t75" style="height:21.9pt;width:43.85pt;" o:ole="t" filled="f" o:preferrelative="t" stroked="f" coordsize="21600,21600">
            <v:path/>
            <v:fill on="f" focussize="0,0"/>
            <v:stroke on="f" joinstyle="miter"/>
            <v:imagedata r:id="rId297" o:title=""/>
            <o:lock v:ext="edit" aspectratio="t"/>
            <w10:wrap type="none"/>
            <w10:anchorlock/>
          </v:shape>
          <o:OLEObject Type="Embed" ProgID="Equation.DSMT4" ShapeID="_x0000_i1175" DrawAspect="Content" ObjectID="_1468075875" r:id="rId296">
            <o:LockedField>false</o:LockedField>
          </o:OLEObject>
        </w:object>
      </w:r>
      <w:r>
        <w:t xml:space="preserve">                              </w:t>
      </w:r>
      <w:r>
        <w:rPr>
          <w:rFonts w:cs="Times New Roman"/>
          <w:spacing w:val="-1"/>
          <w:sz w:val="24"/>
          <w:szCs w:val="24"/>
        </w:rPr>
        <w:t>（</w:t>
      </w:r>
      <w:r>
        <w:rPr>
          <w:rFonts w:ascii="宋体" w:hAnsi="宋体" w:cs="Times New Roman"/>
          <w:bCs/>
          <w:spacing w:val="-1"/>
          <w:szCs w:val="21"/>
        </w:rPr>
        <w:t>B.</w:t>
      </w:r>
      <w:r>
        <w:rPr>
          <w:rFonts w:ascii="宋体" w:hAnsi="宋体"/>
          <w:bCs/>
          <w:spacing w:val="-1"/>
          <w:szCs w:val="21"/>
        </w:rPr>
        <w:t>30</w:t>
      </w:r>
      <w:r>
        <w:rPr>
          <w:rFonts w:cs="Times New Roman"/>
          <w:spacing w:val="-1"/>
          <w:sz w:val="24"/>
          <w:szCs w:val="24"/>
        </w:rPr>
        <w:t>）</w:t>
      </w:r>
    </w:p>
    <w:p>
      <w:pPr>
        <w:pStyle w:val="15"/>
        <w:spacing w:before="0" w:line="360" w:lineRule="exact"/>
        <w:ind w:left="0" w:firstLine="420"/>
      </w:pPr>
      <w:r>
        <w:rPr>
          <w:rFonts w:hint="eastAsia"/>
        </w:rPr>
        <w:t>式中：</w:t>
      </w:r>
      <w:r>
        <w:rPr>
          <w:position w:val="-6"/>
        </w:rPr>
        <w:object>
          <v:shape id="_x0000_i1176" o:spt="75" type="#_x0000_t75" style="height:14.4pt;width:21.9pt;" o:ole="t" filled="f" o:preferrelative="t" stroked="f" coordsize="21600,21600">
            <v:path/>
            <v:fill on="f" focussize="0,0"/>
            <v:stroke on="f" joinstyle="miter"/>
            <v:imagedata r:id="rId299" o:title=""/>
            <o:lock v:ext="edit" aspectratio="t"/>
            <w10:wrap type="none"/>
            <w10:anchorlock/>
          </v:shape>
          <o:OLEObject Type="Embed" ProgID="Equation.DSMT4" ShapeID="_x0000_i1176" DrawAspect="Content" ObjectID="_1468075876" r:id="rId298">
            <o:LockedField>false</o:LockedField>
          </o:OLEObject>
        </w:object>
      </w:r>
      <w:r>
        <w:rPr>
          <w:rFonts w:hAnsi="宋体"/>
          <w:b/>
        </w:rPr>
        <w:t>——</w:t>
      </w:r>
      <w:r>
        <w:t>火灾下作用于构件的压力设计值</w:t>
      </w:r>
      <w:r>
        <w:rPr>
          <w:rFonts w:hint="eastAsia"/>
        </w:rPr>
        <w:t>；</w:t>
      </w:r>
    </w:p>
    <w:p>
      <w:pPr>
        <w:spacing w:line="360" w:lineRule="exact"/>
        <w:ind w:firstLine="630" w:firstLineChars="300"/>
      </w:pPr>
      <w:r>
        <w:rPr>
          <w:position w:val="-12"/>
        </w:rPr>
        <w:object>
          <v:shape id="_x0000_i1177" o:spt="75" type="#_x0000_t75" style="height:21.9pt;width:21.9pt;" o:ole="t" filled="f" o:preferrelative="t" stroked="f" coordsize="21600,21600">
            <v:path/>
            <v:fill on="f" focussize="0,0"/>
            <v:stroke on="f" joinstyle="miter"/>
            <v:imagedata r:id="rId301" o:title=""/>
            <o:lock v:ext="edit" aspectratio="t"/>
            <w10:wrap type="none"/>
            <w10:anchorlock/>
          </v:shape>
          <o:OLEObject Type="Embed" ProgID="Equation.DSMT4" ShapeID="_x0000_i1177" DrawAspect="Content" ObjectID="_1468075877" r:id="rId300">
            <o:LockedField>false</o:LockedField>
          </o:OLEObject>
        </w:object>
      </w:r>
      <w:r>
        <w:rPr>
          <w:rFonts w:hAnsi="宋体"/>
          <w:b/>
        </w:rPr>
        <w:t>——</w:t>
      </w:r>
      <w:r>
        <w:rPr>
          <w:rFonts w:hint="eastAsia"/>
        </w:rPr>
        <w:t>火灾下构件的稳定承载力设计值，按本规范公式</w:t>
      </w:r>
      <w:r>
        <w:rPr>
          <w:rFonts w:cs="Times New Roman"/>
          <w:spacing w:val="-1"/>
          <w:sz w:val="24"/>
          <w:szCs w:val="24"/>
        </w:rPr>
        <w:t>（</w:t>
      </w:r>
      <w:r>
        <w:rPr>
          <w:rFonts w:cs="Times New Roman"/>
          <w:bCs/>
          <w:spacing w:val="-1"/>
          <w:szCs w:val="21"/>
        </w:rPr>
        <w:t>B.26</w:t>
      </w:r>
      <w:r>
        <w:rPr>
          <w:rFonts w:cs="Times New Roman"/>
          <w:spacing w:val="-1"/>
          <w:sz w:val="24"/>
          <w:szCs w:val="24"/>
        </w:rPr>
        <w:t>）</w:t>
      </w:r>
      <w:r>
        <w:rPr>
          <w:rFonts w:hint="eastAsia"/>
        </w:rPr>
        <w:t>计算。</w:t>
      </w:r>
    </w:p>
    <w:p>
      <w:pPr>
        <w:pStyle w:val="4"/>
        <w:numPr>
          <w:ilvl w:val="0"/>
          <w:numId w:val="0"/>
        </w:numPr>
        <w:ind w:right="210"/>
      </w:pPr>
      <w:bookmarkStart w:id="260" w:name="_Toc15070"/>
      <w:r>
        <w:rPr>
          <w:rFonts w:ascii="黑体" w:hAnsi="黑体" w:eastAsia="黑体"/>
        </w:rPr>
        <w:t>B.1.5</w:t>
      </w:r>
      <w:r>
        <w:rPr>
          <w:rFonts w:hint="eastAsia"/>
        </w:rPr>
        <w:t>　钢管混凝土柱防火设计应按下列规定进行：</w:t>
      </w:r>
      <w:bookmarkEnd w:id="260"/>
    </w:p>
    <w:p>
      <w:pPr>
        <w:numPr>
          <w:ilvl w:val="0"/>
          <w:numId w:val="40"/>
        </w:numPr>
        <w:ind w:left="0" w:firstLine="420" w:firstLineChars="0"/>
      </w:pPr>
      <w:r>
        <w:rPr>
          <w:rFonts w:hint="eastAsia"/>
        </w:rPr>
        <w:t>对于未采取防火保护措施的钢管混凝土柱，为保证其耐火极限，钢管混凝土柱轴向压力设</w:t>
      </w:r>
    </w:p>
    <w:p>
      <w:pPr>
        <w:ind w:firstLine="0" w:firstLineChars="0"/>
      </w:pPr>
      <w:r>
        <w:rPr>
          <w:rFonts w:hint="eastAsia"/>
        </w:rPr>
        <w:t>计值应满足《钢管混凝土结构技术规程》</w:t>
      </w:r>
      <w:r>
        <w:t>CECS 28</w:t>
      </w:r>
      <w:r>
        <w:rPr>
          <w:rFonts w:hint="eastAsia"/>
        </w:rPr>
        <w:t>的相关条文规定。</w:t>
      </w:r>
    </w:p>
    <w:p>
      <w:pPr>
        <w:numPr>
          <w:ilvl w:val="0"/>
          <w:numId w:val="40"/>
        </w:numPr>
        <w:ind w:left="0" w:firstLine="420"/>
      </w:pPr>
      <w:r>
        <w:rPr>
          <w:rFonts w:hint="eastAsia"/>
        </w:rPr>
        <w:t>有防火保护的钢管混凝土柱采用金属网抹</w:t>
      </w:r>
      <w:r>
        <w:t>M5</w:t>
      </w:r>
      <w:r>
        <w:rPr>
          <w:rFonts w:hint="eastAsia"/>
        </w:rPr>
        <w:t>普通水泥砂浆或非膨胀型防火涂料做防火保</w:t>
      </w:r>
    </w:p>
    <w:p>
      <w:pPr>
        <w:ind w:firstLine="0" w:firstLineChars="0"/>
      </w:pPr>
      <w:r>
        <w:rPr>
          <w:rFonts w:hint="eastAsia"/>
        </w:rPr>
        <w:t>护时，其厚度应满足《钢管混凝土结构技术规程》</w:t>
      </w:r>
      <w:r>
        <w:t>CECS 28</w:t>
      </w:r>
      <w:r>
        <w:rPr>
          <w:rFonts w:hint="eastAsia"/>
        </w:rPr>
        <w:t>的相关条文规定。</w:t>
      </w:r>
    </w:p>
    <w:p>
      <w:pPr>
        <w:numPr>
          <w:ilvl w:val="0"/>
          <w:numId w:val="40"/>
        </w:numPr>
        <w:ind w:left="0" w:firstLine="420"/>
      </w:pPr>
      <w:r>
        <w:rPr>
          <w:rFonts w:hint="eastAsia"/>
        </w:rPr>
        <w:t>每个楼层的柱钢管壁应设置直径不小于</w:t>
      </w:r>
      <w:r>
        <w:t>20mm</w:t>
      </w:r>
      <w:r>
        <w:rPr>
          <w:rFonts w:hint="eastAsia"/>
        </w:rPr>
        <w:t>的排气孔，其位置宜位于柱与楼板相交位置</w:t>
      </w:r>
    </w:p>
    <w:p>
      <w:pPr>
        <w:ind w:firstLine="0" w:firstLineChars="0"/>
      </w:pPr>
      <w:r>
        <w:rPr>
          <w:rFonts w:hint="eastAsia"/>
        </w:rPr>
        <w:t>的上方及下方</w:t>
      </w:r>
      <w:r>
        <w:t>100mm</w:t>
      </w:r>
      <w:r>
        <w:rPr>
          <w:rFonts w:hint="eastAsia"/>
        </w:rPr>
        <w:t>处，并应沿柱身反对称布设。排气孔纵向间距不宜超过</w:t>
      </w:r>
      <w:r>
        <w:t>6m</w:t>
      </w:r>
      <w:r>
        <w:rPr>
          <w:rFonts w:hint="eastAsia"/>
        </w:rPr>
        <w:t>。</w:t>
      </w:r>
    </w:p>
    <w:p>
      <w:pPr>
        <w:widowControl/>
        <w:adjustRightInd/>
        <w:spacing w:before="120" w:beforeLines="50" w:after="120" w:afterLines="50" w:line="240" w:lineRule="auto"/>
        <w:ind w:firstLine="0" w:firstLineChars="0"/>
        <w:textAlignment w:val="center"/>
        <w:outlineLvl w:val="1"/>
        <w:rPr>
          <w:rFonts w:ascii="黑体" w:hAnsi="黑体" w:eastAsia="黑体"/>
          <w:kern w:val="0"/>
          <w:szCs w:val="20"/>
        </w:rPr>
      </w:pPr>
      <w:bookmarkStart w:id="261" w:name="_Toc186641528"/>
      <w:r>
        <w:rPr>
          <w:rFonts w:ascii="黑体" w:hAnsi="黑体" w:eastAsia="黑体"/>
          <w:kern w:val="0"/>
          <w:szCs w:val="20"/>
        </w:rPr>
        <w:t>B.2</w:t>
      </w:r>
      <w:r>
        <w:rPr>
          <w:rFonts w:hint="eastAsia" w:ascii="黑体" w:hAnsi="黑体" w:eastAsia="黑体"/>
          <w:kern w:val="0"/>
          <w:szCs w:val="20"/>
        </w:rPr>
        <w:t>　钢构件耐火验算</w:t>
      </w:r>
      <w:bookmarkEnd w:id="261"/>
    </w:p>
    <w:p>
      <w:pPr>
        <w:pStyle w:val="4"/>
        <w:numPr>
          <w:ilvl w:val="0"/>
          <w:numId w:val="0"/>
        </w:numPr>
        <w:ind w:right="210"/>
      </w:pPr>
      <w:r>
        <w:rPr>
          <w:rFonts w:ascii="黑体" w:hAnsi="黑体" w:eastAsia="黑体"/>
        </w:rPr>
        <w:t>B.2.1</w:t>
      </w:r>
      <w:r>
        <w:rPr>
          <w:rFonts w:hint="eastAsia"/>
        </w:rPr>
        <w:t>　</w:t>
      </w:r>
      <w:r>
        <w:t>钢梁耐火验算</w:t>
      </w:r>
    </w:p>
    <w:p>
      <w:pPr>
        <w:ind w:firstLine="420"/>
      </w:pPr>
      <w:r>
        <w:rPr>
          <w:rFonts w:hint="eastAsia"/>
        </w:rPr>
        <w:t>对于钢框架梁，如有楼板作为梁的可靠侧向支撑，则应按公式</w:t>
      </w:r>
      <w:r>
        <w:rPr>
          <w:rFonts w:hint="eastAsia"/>
          <w:lang w:val="zh-CN"/>
        </w:rPr>
        <w:t>（</w:t>
      </w:r>
      <w:r>
        <w:rPr>
          <w:rFonts w:ascii="宋体" w:hAnsi="宋体" w:cs="Times New Roman"/>
          <w:bCs/>
          <w:spacing w:val="-1"/>
          <w:szCs w:val="21"/>
        </w:rPr>
        <w:t>B.31</w:t>
      </w:r>
      <w:r>
        <w:rPr>
          <w:rFonts w:hint="eastAsia"/>
          <w:lang w:val="zh-CN"/>
        </w:rPr>
        <w:t>）-（</w:t>
      </w:r>
      <w:r>
        <w:rPr>
          <w:rFonts w:ascii="宋体" w:hAnsi="宋体"/>
          <w:bCs/>
          <w:spacing w:val="-1"/>
          <w:szCs w:val="21"/>
        </w:rPr>
        <w:t>B.32</w:t>
      </w:r>
      <w:r>
        <w:rPr>
          <w:rFonts w:hint="eastAsia"/>
          <w:lang w:val="zh-CN"/>
        </w:rPr>
        <w:t>）</w:t>
      </w:r>
      <w:r>
        <w:rPr>
          <w:rFonts w:hint="eastAsia"/>
        </w:rPr>
        <w:t>进行梁的耐火验算：</w:t>
      </w:r>
    </w:p>
    <w:p>
      <w:pPr>
        <w:pStyle w:val="15"/>
        <w:spacing w:before="0"/>
        <w:ind w:left="0" w:right="281" w:rightChars="134" w:firstLine="420"/>
        <w:jc w:val="right"/>
        <w:rPr>
          <w:rFonts w:cs="Times New Roman"/>
          <w:spacing w:val="-1"/>
          <w:sz w:val="24"/>
          <w:szCs w:val="24"/>
        </w:rPr>
      </w:pPr>
      <w:r>
        <w:t xml:space="preserve">                               </w:t>
      </w:r>
      <w:r>
        <w:rPr>
          <w:position w:val="-24"/>
        </w:rPr>
        <w:object>
          <v:shape id="_x0000_i1178" o:spt="75" type="#_x0000_t75" style="height:28.8pt;width:93.9pt;" o:ole="t" filled="f" o:preferrelative="t" stroked="f" coordsize="21600,21600">
            <v:path/>
            <v:fill on="f" focussize="0,0"/>
            <v:stroke on="f" joinstyle="miter"/>
            <v:imagedata r:id="rId303" o:title=""/>
            <o:lock v:ext="edit" aspectratio="t"/>
            <w10:wrap type="none"/>
            <w10:anchorlock/>
          </v:shape>
          <o:OLEObject Type="Embed" ProgID="Equation.DSMT4" ShapeID="_x0000_i1178" DrawAspect="Content" ObjectID="_1468075878" r:id="rId302">
            <o:LockedField>false</o:LockedField>
          </o:OLEObject>
        </w:object>
      </w:r>
      <w:r>
        <w:t xml:space="preserve">                       </w:t>
      </w:r>
      <w:r>
        <w:rPr>
          <w:rFonts w:hAnsi="宋体" w:cs="Times New Roman"/>
          <w:bCs/>
          <w:spacing w:val="-1"/>
          <w:kern w:val="2"/>
        </w:rPr>
        <w:t>（B.</w:t>
      </w:r>
      <w:r>
        <w:rPr>
          <w:rFonts w:hAnsi="宋体"/>
          <w:bCs/>
          <w:spacing w:val="-1"/>
        </w:rPr>
        <w:t>31</w:t>
      </w:r>
      <w:r>
        <w:rPr>
          <w:rFonts w:hAnsi="宋体" w:cs="Times New Roman"/>
          <w:bCs/>
          <w:spacing w:val="-1"/>
          <w:kern w:val="2"/>
        </w:rPr>
        <w:t>）</w:t>
      </w:r>
    </w:p>
    <w:p>
      <w:pPr>
        <w:pStyle w:val="15"/>
        <w:spacing w:before="0" w:line="360" w:lineRule="exact"/>
        <w:ind w:left="0" w:firstLine="420"/>
      </w:pPr>
      <w:r>
        <w:rPr>
          <w:rFonts w:hint="eastAsia"/>
        </w:rPr>
        <w:t>式中：</w:t>
      </w:r>
      <w:r>
        <w:rPr>
          <w:rFonts w:ascii="Times New Roman" w:cs="Times New Roman"/>
          <w:position w:val="-10"/>
        </w:rPr>
        <w:object>
          <v:shape id="_x0000_i1179" o:spt="75" type="#_x0000_t75" style="height:14.4pt;width:7.5pt;" o:ole="t" filled="f" o:preferrelative="t" stroked="f" coordsize="21600,21600">
            <v:path/>
            <v:fill on="f" focussize="0,0"/>
            <v:stroke on="f" joinstyle="miter"/>
            <v:imagedata r:id="rId305" o:title=""/>
            <o:lock v:ext="edit" aspectratio="t"/>
            <w10:wrap type="none"/>
            <w10:anchorlock/>
          </v:shape>
          <o:OLEObject Type="Embed" ProgID="Equation.DSMT4" ShapeID="_x0000_i1179" DrawAspect="Content" ObjectID="_1468075879" r:id="rId304">
            <o:LockedField>false</o:LockedField>
          </o:OLEObject>
        </w:object>
      </w:r>
      <w:r>
        <w:rPr>
          <w:rFonts w:hAnsi="宋体"/>
          <w:b/>
        </w:rPr>
        <w:t>——</w:t>
      </w:r>
      <w:r>
        <w:rPr>
          <w:rFonts w:hint="eastAsia"/>
        </w:rPr>
        <w:t>作用在梁上的均布荷载设计</w:t>
      </w:r>
      <w:r>
        <w:rPr>
          <w:rFonts w:ascii="Times New Roman" w:cs="Times New Roman"/>
          <w:position w:val="-10"/>
        </w:rPr>
        <w:object>
          <v:shape id="_x0000_i1180" o:spt="75" type="#_x0000_t75" style="height:14.4pt;width:43.85pt;" o:ole="t" filled="f" o:preferrelative="t" stroked="f" coordsize="21600,21600">
            <v:path/>
            <v:fill on="f" focussize="0,0"/>
            <v:stroke on="f" joinstyle="miter"/>
            <v:imagedata r:id="rId307" o:title=""/>
            <o:lock v:ext="edit" aspectratio="t"/>
            <w10:wrap type="none"/>
            <w10:anchorlock/>
          </v:shape>
          <o:OLEObject Type="Embed" ProgID="Equation.DSMT4" ShapeID="_x0000_i1180" DrawAspect="Content" ObjectID="_1468075880" r:id="rId306">
            <o:LockedField>false</o:LockedField>
          </o:OLEObject>
        </w:object>
      </w:r>
      <w:r>
        <w:rPr>
          <w:rFonts w:hint="eastAsia"/>
        </w:rPr>
        <w:t>；</w:t>
      </w:r>
    </w:p>
    <w:p>
      <w:pPr>
        <w:pStyle w:val="15"/>
        <w:spacing w:before="0" w:line="360" w:lineRule="exact"/>
        <w:ind w:left="0" w:firstLine="630" w:firstLineChars="300"/>
      </w:pPr>
      <w:r>
        <w:rPr>
          <w:rFonts w:ascii="Times New Roman" w:cs="Times New Roman"/>
          <w:position w:val="-6"/>
        </w:rPr>
        <w:object>
          <v:shape id="_x0000_i1181" o:spt="75" type="#_x0000_t75" style="height:14.4pt;width:7.5pt;" o:ole="t" filled="f" o:preferrelative="t" stroked="f" coordsize="21600,21600">
            <v:path/>
            <v:fill on="f" focussize="0,0"/>
            <v:stroke on="f" joinstyle="miter"/>
            <v:imagedata r:id="rId309" o:title=""/>
            <o:lock v:ext="edit" aspectratio="t"/>
            <w10:wrap type="none"/>
            <w10:anchorlock/>
          </v:shape>
          <o:OLEObject Type="Embed" ProgID="Equation.DSMT4" ShapeID="_x0000_i1181" DrawAspect="Content" ObjectID="_1468075881" r:id="rId308">
            <o:LockedField>false</o:LockedField>
          </o:OLEObject>
        </w:object>
      </w:r>
      <w:r>
        <w:rPr>
          <w:rFonts w:hAnsi="宋体"/>
          <w:b/>
        </w:rPr>
        <w:t>——</w:t>
      </w:r>
      <w:r>
        <w:rPr>
          <w:rFonts w:hint="eastAsia"/>
        </w:rPr>
        <w:t>梁的跨度</w:t>
      </w:r>
      <w:r>
        <w:rPr>
          <w:rFonts w:ascii="Times New Roman" w:cs="Times New Roman"/>
          <w:position w:val="-10"/>
        </w:rPr>
        <w:object>
          <v:shape id="_x0000_i1182" o:spt="75" type="#_x0000_t75" style="height:14.4pt;width:28.8pt;" o:ole="t" filled="f" o:preferrelative="t" stroked="f" coordsize="21600,21600">
            <v:path/>
            <v:fill on="f" focussize="0,0"/>
            <v:stroke on="f" joinstyle="miter"/>
            <v:imagedata r:id="rId311" o:title=""/>
            <o:lock v:ext="edit" aspectratio="t"/>
            <w10:wrap type="none"/>
            <w10:anchorlock/>
          </v:shape>
          <o:OLEObject Type="Embed" ProgID="Equation.DSMT4" ShapeID="_x0000_i1182" DrawAspect="Content" ObjectID="_1468075882" r:id="rId310">
            <o:LockedField>false</o:LockedField>
          </o:OLEObject>
        </w:object>
      </w:r>
      <w:r>
        <w:rPr>
          <w:rFonts w:hint="eastAsia"/>
        </w:rPr>
        <w:t>；</w:t>
      </w:r>
    </w:p>
    <w:p>
      <w:pPr>
        <w:pStyle w:val="15"/>
        <w:spacing w:before="0" w:line="360" w:lineRule="exact"/>
        <w:ind w:firstLine="420"/>
      </w:pPr>
      <w:r>
        <w:rPr>
          <w:rFonts w:ascii="Times New Roman" w:cs="Times New Roman"/>
          <w:position w:val="-12"/>
        </w:rPr>
        <w:object>
          <v:shape id="_x0000_i1183" o:spt="75" type="#_x0000_t75" style="height:14.4pt;width:14.4pt;" o:ole="t" filled="f" o:preferrelative="t" stroked="f" coordsize="21600,21600">
            <v:path/>
            <v:fill on="f" focussize="0,0"/>
            <v:stroke on="f" joinstyle="miter"/>
            <v:imagedata r:id="rId313" o:title=""/>
            <o:lock v:ext="edit" aspectratio="t"/>
            <w10:wrap type="none"/>
            <w10:anchorlock/>
          </v:shape>
          <o:OLEObject Type="Embed" ProgID="Equation.DSMT4" ShapeID="_x0000_i1183" DrawAspect="Content" ObjectID="_1468075883" r:id="rId312">
            <o:LockedField>false</o:LockedField>
          </o:OLEObject>
        </w:object>
      </w:r>
      <w:r>
        <w:rPr>
          <w:rFonts w:hAnsi="宋体"/>
          <w:b/>
        </w:rPr>
        <w:t>——</w:t>
      </w:r>
      <w:r>
        <w:rPr>
          <w:rFonts w:hint="eastAsia"/>
        </w:rPr>
        <w:t>与梁连接有关的系数，当梁两端铰接时，</w:t>
      </w:r>
      <w:r>
        <w:rPr>
          <w:rFonts w:ascii="Times New Roman" w:cs="Times New Roman"/>
          <w:position w:val="-12"/>
        </w:rPr>
        <w:object>
          <v:shape id="_x0000_i1184" o:spt="75" type="#_x0000_t75" style="height:14.4pt;width:28.8pt;" o:ole="t" filled="f" o:preferrelative="t" stroked="f" coordsize="21600,21600">
            <v:path/>
            <v:fill on="f" focussize="0,0"/>
            <v:stroke on="f" joinstyle="miter"/>
            <v:imagedata r:id="rId315" o:title=""/>
            <o:lock v:ext="edit" aspectratio="t"/>
            <w10:wrap type="none"/>
            <w10:anchorlock/>
          </v:shape>
          <o:OLEObject Type="Embed" ProgID="Equation.DSMT4" ShapeID="_x0000_i1184" DrawAspect="Content" ObjectID="_1468075884" r:id="rId314">
            <o:LockedField>false</o:LockedField>
          </o:OLEObject>
        </w:object>
      </w:r>
      <w:r>
        <w:rPr>
          <w:rFonts w:hint="eastAsia"/>
        </w:rPr>
        <w:t>，当梁两端刚接时，</w:t>
      </w:r>
      <w:r>
        <w:rPr>
          <w:rFonts w:ascii="Times New Roman" w:cs="Times New Roman"/>
          <w:position w:val="-12"/>
        </w:rPr>
        <w:object>
          <v:shape id="_x0000_i1185" o:spt="75" type="#_x0000_t75" style="height:14.4pt;width:43.85pt;" o:ole="t" filled="f" o:preferrelative="t" stroked="f" coordsize="21600,21600">
            <v:path/>
            <v:fill on="f" focussize="0,0"/>
            <v:stroke on="f" joinstyle="miter"/>
            <v:imagedata r:id="rId317" o:title=""/>
            <o:lock v:ext="edit" aspectratio="t"/>
            <w10:wrap type="none"/>
            <w10:anchorlock/>
          </v:shape>
          <o:OLEObject Type="Embed" ProgID="Equation.DSMT4" ShapeID="_x0000_i1185" DrawAspect="Content" ObjectID="_1468075885" r:id="rId316">
            <o:LockedField>false</o:LockedField>
          </o:OLEObject>
        </w:object>
      </w:r>
      <w:r>
        <w:rPr>
          <w:rFonts w:hint="eastAsia"/>
        </w:rPr>
        <w:t>；</w:t>
      </w:r>
    </w:p>
    <w:p>
      <w:pPr>
        <w:pStyle w:val="15"/>
        <w:spacing w:before="0" w:line="360" w:lineRule="exact"/>
        <w:ind w:firstLine="420"/>
        <w:rPr>
          <w:spacing w:val="-8"/>
        </w:rPr>
      </w:pPr>
      <w:r>
        <w:rPr>
          <w:rFonts w:ascii="Times New Roman" w:cs="Times New Roman"/>
          <w:position w:val="-14"/>
        </w:rPr>
        <w:object>
          <v:shape id="_x0000_i1186" o:spt="75" type="#_x0000_t75" style="height:21.9pt;width:14.4pt;" o:ole="t" filled="f" o:preferrelative="t" stroked="f" coordsize="21600,21600">
            <v:path/>
            <v:fill on="f" focussize="0,0"/>
            <v:stroke on="f" joinstyle="miter"/>
            <v:imagedata r:id="rId319" o:title=""/>
            <o:lock v:ext="edit" aspectratio="t"/>
            <w10:wrap type="none"/>
            <w10:anchorlock/>
          </v:shape>
          <o:OLEObject Type="Embed" ProgID="Equation.DSMT4" ShapeID="_x0000_i1186" DrawAspect="Content" ObjectID="_1468075886" r:id="rId318">
            <o:LockedField>false</o:LockedField>
          </o:OLEObject>
        </w:object>
      </w:r>
      <w:r>
        <w:rPr>
          <w:rFonts w:hAnsi="宋体"/>
          <w:spacing w:val="-8"/>
        </w:rPr>
        <w:t>——</w:t>
      </w:r>
      <w:r>
        <w:rPr>
          <w:rFonts w:hint="eastAsia"/>
          <w:spacing w:val="-8"/>
        </w:rPr>
        <w:t>梁的塑性截面模量</w:t>
      </w:r>
      <w:r>
        <w:rPr>
          <w:rFonts w:ascii="Times New Roman" w:cs="Times New Roman"/>
          <w:position w:val="-10"/>
        </w:rPr>
        <w:object>
          <v:shape id="_x0000_i1187" o:spt="75" type="#_x0000_t75" style="height:14.4pt;width:35.7pt;" o:ole="t" filled="f" o:preferrelative="t" stroked="f" coordsize="21600,21600">
            <v:path/>
            <v:fill on="f" focussize="0,0"/>
            <v:stroke on="f" joinstyle="miter"/>
            <v:imagedata r:id="rId321" o:title=""/>
            <o:lock v:ext="edit" aspectratio="t"/>
            <w10:wrap type="none"/>
            <w10:anchorlock/>
          </v:shape>
          <o:OLEObject Type="Embed" ProgID="Equation.DSMT4" ShapeID="_x0000_i1187" DrawAspect="Content" ObjectID="_1468075887" r:id="rId320">
            <o:LockedField>false</o:LockedField>
          </o:OLEObject>
        </w:object>
      </w:r>
      <w:r>
        <w:rPr>
          <w:rFonts w:hint="eastAsia"/>
          <w:spacing w:val="-8"/>
        </w:rPr>
        <w:t>；</w:t>
      </w:r>
    </w:p>
    <w:p>
      <w:pPr>
        <w:pStyle w:val="15"/>
        <w:spacing w:before="0" w:line="360" w:lineRule="exact"/>
        <w:ind w:left="0" w:firstLine="525" w:firstLineChars="250"/>
        <w:rPr>
          <w:spacing w:val="-5"/>
        </w:rPr>
      </w:pPr>
      <w:r>
        <w:rPr>
          <w:rFonts w:ascii="Times New Roman" w:cs="Times New Roman"/>
          <w:position w:val="-12"/>
        </w:rPr>
        <w:object>
          <v:shape id="_x0000_i1188" o:spt="75" type="#_x0000_t75" style="height:14.4pt;width:14.4pt;" o:ole="t" filled="f" o:preferrelative="t" stroked="f" coordsize="21600,21600">
            <v:path/>
            <v:fill on="f" focussize="0,0"/>
            <v:stroke on="f" joinstyle="miter"/>
            <v:imagedata r:id="rId323" o:title=""/>
            <o:lock v:ext="edit" aspectratio="t"/>
            <w10:wrap type="none"/>
            <w10:anchorlock/>
          </v:shape>
          <o:OLEObject Type="Embed" ProgID="Equation.DSMT4" ShapeID="_x0000_i1188" DrawAspect="Content" ObjectID="_1468075888" r:id="rId322">
            <o:LockedField>false</o:LockedField>
          </o:OLEObject>
        </w:object>
      </w:r>
      <w:r>
        <w:rPr>
          <w:rFonts w:hAnsi="宋体"/>
          <w:spacing w:val="-5"/>
        </w:rPr>
        <w:t>——</w:t>
      </w:r>
      <w:r>
        <w:rPr>
          <w:rFonts w:hint="eastAsia"/>
          <w:spacing w:val="-5"/>
        </w:rPr>
        <w:t>常温下钢材的抗拉、抗压和抗弯强度设计值</w:t>
      </w:r>
      <w:r>
        <w:rPr>
          <w:rFonts w:ascii="Times New Roman" w:cs="Times New Roman"/>
          <w:position w:val="-10"/>
        </w:rPr>
        <w:object>
          <v:shape id="_x0000_i1189" o:spt="75" type="#_x0000_t75" style="height:14.4pt;width:50.1pt;" o:ole="t" filled="f" o:preferrelative="t" stroked="f" coordsize="21600,21600">
            <v:path/>
            <v:fill on="f" focussize="0,0"/>
            <v:stroke on="f" joinstyle="miter"/>
            <v:imagedata r:id="rId325" o:title=""/>
            <o:lock v:ext="edit" aspectratio="t"/>
            <w10:wrap type="none"/>
            <w10:anchorlock/>
          </v:shape>
          <o:OLEObject Type="Embed" ProgID="Equation.DSMT4" ShapeID="_x0000_i1189" DrawAspect="Content" ObjectID="_1468075889" r:id="rId324">
            <o:LockedField>false</o:LockedField>
          </o:OLEObject>
        </w:object>
      </w:r>
      <w:r>
        <w:rPr>
          <w:rFonts w:hint="eastAsia"/>
          <w:spacing w:val="-5"/>
        </w:rPr>
        <w:t>；</w:t>
      </w:r>
    </w:p>
    <w:p>
      <w:pPr>
        <w:pStyle w:val="15"/>
        <w:spacing w:before="0" w:line="360" w:lineRule="exact"/>
        <w:ind w:firstLine="420"/>
      </w:pPr>
      <w:r>
        <w:rPr>
          <w:rFonts w:ascii="Times New Roman" w:cs="Times New Roman"/>
          <w:position w:val="-12"/>
        </w:rPr>
        <w:object>
          <v:shape id="_x0000_i1190" o:spt="75" type="#_x0000_t75" style="height:14.4pt;width:14.4pt;" o:ole="t" filled="f" o:preferrelative="t" stroked="f" coordsize="21600,21600">
            <v:path/>
            <v:fill on="f" focussize="0,0"/>
            <v:stroke on="f" joinstyle="miter"/>
            <v:imagedata r:id="rId327" o:title=""/>
            <o:lock v:ext="edit" aspectratio="t"/>
            <w10:wrap type="none"/>
            <w10:anchorlock/>
          </v:shape>
          <o:OLEObject Type="Embed" ProgID="Equation.DSMT4" ShapeID="_x0000_i1190" DrawAspect="Content" ObjectID="_1468075890" r:id="rId326">
            <o:LockedField>false</o:LockedField>
          </o:OLEObject>
        </w:object>
      </w:r>
      <w:r>
        <w:rPr>
          <w:rFonts w:hAnsi="宋体"/>
          <w:b/>
        </w:rPr>
        <w:t>——</w:t>
      </w:r>
      <w:r>
        <w:rPr>
          <w:rFonts w:hint="eastAsia"/>
        </w:rPr>
        <w:t>钢材抗火设计强度调整系数，取</w:t>
      </w:r>
      <w:r>
        <w:rPr>
          <w:spacing w:val="-49"/>
        </w:rPr>
        <w:t xml:space="preserve"> </w:t>
      </w:r>
      <w:r>
        <w:rPr>
          <w:rFonts w:ascii="Times New Roman" w:cs="Times New Roman"/>
        </w:rPr>
        <w:t>1.1</w:t>
      </w:r>
      <w:r>
        <w:rPr>
          <w:rFonts w:hint="eastAsia"/>
        </w:rPr>
        <w:t>；</w:t>
      </w:r>
    </w:p>
    <w:p>
      <w:pPr>
        <w:pStyle w:val="15"/>
        <w:spacing w:before="0" w:line="360" w:lineRule="exact"/>
        <w:ind w:firstLine="420"/>
      </w:pPr>
      <w:r>
        <w:rPr>
          <w:rFonts w:ascii="Times New Roman" w:cs="Times New Roman"/>
          <w:position w:val="-12"/>
        </w:rPr>
        <w:object>
          <v:shape id="_x0000_i1191" o:spt="75" type="#_x0000_t75" style="height:14.4pt;width:14.4pt;" o:ole="t" filled="f" o:preferrelative="t" stroked="f" coordsize="21600,21600">
            <v:path/>
            <v:fill on="f" focussize="0,0"/>
            <v:stroke on="f" joinstyle="miter"/>
            <v:imagedata r:id="rId329" o:title=""/>
            <o:lock v:ext="edit" aspectratio="t"/>
            <w10:wrap type="none"/>
            <w10:anchorlock/>
          </v:shape>
          <o:OLEObject Type="Embed" ProgID="Equation.DSMT4" ShapeID="_x0000_i1191" DrawAspect="Content" ObjectID="_1468075891" r:id="rId328">
            <o:LockedField>false</o:LockedField>
          </o:OLEObject>
        </w:object>
      </w:r>
      <w:r>
        <w:rPr>
          <w:rFonts w:hAnsi="宋体"/>
          <w:b/>
        </w:rPr>
        <w:t>——</w:t>
      </w:r>
      <w:r>
        <w:rPr>
          <w:rFonts w:hint="eastAsia"/>
        </w:rPr>
        <w:t>高温下钢材强度折减系数，</w:t>
      </w:r>
    </w:p>
    <w:p>
      <w:pPr>
        <w:pStyle w:val="15"/>
        <w:spacing w:before="0"/>
        <w:ind w:left="119" w:right="281" w:rightChars="134" w:firstLine="420"/>
        <w:jc w:val="right"/>
      </w:pPr>
      <w:r>
        <w:t xml:space="preserve">                       </w:t>
      </w:r>
      <w:r>
        <w:rPr>
          <w:position w:val="-54"/>
        </w:rPr>
        <w:object>
          <v:shape id="_x0000_i1192" o:spt="75" type="#_x0000_t75" style="height:43.85pt;width:151.5pt;" o:ole="t" filled="f" o:preferrelative="t" stroked="f" coordsize="21600,21600">
            <v:path/>
            <v:fill on="f" focussize="0,0"/>
            <v:stroke on="f" joinstyle="miter"/>
            <v:imagedata r:id="rId331" o:title=""/>
            <o:lock v:ext="edit" aspectratio="t"/>
            <w10:wrap type="none"/>
            <w10:anchorlock/>
          </v:shape>
          <o:OLEObject Type="Embed" ProgID="Equation.DSMT4" ShapeID="_x0000_i1192" DrawAspect="Content" ObjectID="_1468075892" r:id="rId330">
            <o:LockedField>false</o:LockedField>
          </o:OLEObject>
        </w:object>
      </w:r>
      <w:r>
        <w:t xml:space="preserve">                </w:t>
      </w:r>
      <w:r>
        <w:rPr>
          <w:rFonts w:hAnsi="宋体" w:cs="Times New Roman"/>
          <w:bCs/>
          <w:spacing w:val="-1"/>
          <w:kern w:val="2"/>
        </w:rPr>
        <w:t>（B.</w:t>
      </w:r>
      <w:r>
        <w:rPr>
          <w:rFonts w:hAnsi="宋体"/>
          <w:bCs/>
          <w:spacing w:val="-1"/>
        </w:rPr>
        <w:t>32</w:t>
      </w:r>
      <w:r>
        <w:rPr>
          <w:rFonts w:hAnsi="宋体" w:cs="Times New Roman"/>
          <w:bCs/>
          <w:spacing w:val="-1"/>
          <w:kern w:val="2"/>
        </w:rPr>
        <w:t>）</w:t>
      </w:r>
    </w:p>
    <w:p>
      <w:pPr>
        <w:pStyle w:val="15"/>
        <w:spacing w:before="0" w:line="360" w:lineRule="exact"/>
        <w:ind w:left="119" w:firstLine="420"/>
      </w:pPr>
      <w:r>
        <w:rPr>
          <w:rFonts w:ascii="Times New Roman" w:cs="Times New Roman"/>
          <w:position w:val="-12"/>
        </w:rPr>
        <w:object>
          <v:shape id="_x0000_i1193" o:spt="75" type="#_x0000_t75" style="height:14.4pt;width:14.4pt;" o:ole="t" filled="f" o:preferrelative="t" stroked="f" coordsize="21600,21600">
            <v:path/>
            <v:fill on="f" focussize="0,0"/>
            <v:stroke on="f" joinstyle="miter"/>
            <v:imagedata r:id="rId333" o:title=""/>
            <o:lock v:ext="edit" aspectratio="t"/>
            <w10:wrap type="none"/>
            <w10:anchorlock/>
          </v:shape>
          <o:OLEObject Type="Embed" ProgID="Equation.DSMT4" ShapeID="_x0000_i1193" DrawAspect="Content" ObjectID="_1468075893" r:id="rId332">
            <o:LockedField>false</o:LockedField>
          </o:OLEObject>
        </w:object>
      </w:r>
      <w:r>
        <w:rPr>
          <w:rFonts w:hAnsi="宋体"/>
          <w:b/>
        </w:rPr>
        <w:t>——</w:t>
      </w:r>
      <w:r>
        <w:rPr>
          <w:rFonts w:hint="eastAsia"/>
        </w:rPr>
        <w:t>火灾下构件的内部温度。</w:t>
      </w:r>
    </w:p>
    <w:p>
      <w:pPr>
        <w:pStyle w:val="4"/>
        <w:numPr>
          <w:ilvl w:val="0"/>
          <w:numId w:val="0"/>
        </w:numPr>
        <w:ind w:right="210"/>
      </w:pPr>
      <w:r>
        <w:rPr>
          <w:rFonts w:ascii="黑体" w:hAnsi="黑体" w:eastAsia="黑体"/>
        </w:rPr>
        <w:t>B.2.2</w:t>
      </w:r>
      <w:r>
        <w:rPr>
          <w:rFonts w:hint="eastAsia"/>
        </w:rPr>
        <w:t>　</w:t>
      </w:r>
      <w:r>
        <w:t>钢柱、钢支撑耐火验算</w:t>
      </w:r>
    </w:p>
    <w:p>
      <w:pPr>
        <w:ind w:firstLine="420"/>
      </w:pPr>
      <w:r>
        <w:rPr>
          <w:rFonts w:hint="eastAsia"/>
        </w:rPr>
        <w:t>对于钢框架柱，应按公式</w:t>
      </w:r>
      <w:r>
        <w:rPr>
          <w:rFonts w:hint="eastAsia"/>
          <w:lang w:val="zh-CN"/>
        </w:rPr>
        <w:t>（</w:t>
      </w:r>
      <w:r>
        <w:rPr>
          <w:rFonts w:ascii="宋体" w:hAnsi="宋体" w:cs="Times New Roman"/>
          <w:bCs/>
          <w:spacing w:val="-1"/>
          <w:szCs w:val="21"/>
        </w:rPr>
        <w:t>B.33</w:t>
      </w:r>
      <w:r>
        <w:rPr>
          <w:rFonts w:hint="eastAsia"/>
          <w:lang w:val="zh-CN"/>
        </w:rPr>
        <w:t>）-（</w:t>
      </w:r>
      <w:r>
        <w:rPr>
          <w:rFonts w:ascii="宋体" w:hAnsi="宋体"/>
          <w:bCs/>
          <w:spacing w:val="-1"/>
          <w:szCs w:val="21"/>
        </w:rPr>
        <w:t>B.34</w:t>
      </w:r>
      <w:r>
        <w:rPr>
          <w:rFonts w:hint="eastAsia"/>
          <w:lang w:val="zh-CN"/>
        </w:rPr>
        <w:t>）</w:t>
      </w:r>
      <w:r>
        <w:rPr>
          <w:rFonts w:hint="eastAsia"/>
        </w:rPr>
        <w:t>验算火灾下框架平面内和平面外的整体稳定性：</w:t>
      </w:r>
    </w:p>
    <w:p>
      <w:pPr>
        <w:spacing w:line="240" w:lineRule="auto"/>
        <w:ind w:right="281" w:rightChars="134" w:firstLine="0" w:firstLineChars="0"/>
        <w:jc w:val="right"/>
        <w:rPr>
          <w:rFonts w:cs="Times New Roman"/>
          <w:spacing w:val="-1"/>
          <w:sz w:val="24"/>
          <w:szCs w:val="24"/>
        </w:rPr>
      </w:pPr>
      <w:r>
        <w:t xml:space="preserve">                                </w:t>
      </w:r>
      <w:r>
        <w:rPr>
          <w:position w:val="-30"/>
        </w:rPr>
        <w:object>
          <v:shape id="_x0000_i1194" o:spt="75" type="#_x0000_t75" style="height:35.7pt;width:86.4pt;" o:ole="t" filled="f" o:preferrelative="t" stroked="f" coordsize="21600,21600">
            <v:path/>
            <v:fill on="f" focussize="0,0"/>
            <v:stroke on="f" joinstyle="miter"/>
            <v:imagedata r:id="rId335" o:title=""/>
            <o:lock v:ext="edit" aspectratio="t"/>
            <w10:wrap type="none"/>
            <w10:anchorlock/>
          </v:shape>
          <o:OLEObject Type="Embed" ProgID="Equation.DSMT4" ShapeID="_x0000_i1194" DrawAspect="Content" ObjectID="_1468075894" r:id="rId334">
            <o:LockedField>false</o:LockedField>
          </o:OLEObject>
        </w:object>
      </w:r>
      <w:r>
        <w:t xml:space="preserve">                        </w:t>
      </w:r>
      <w:r>
        <w:rPr>
          <w:rFonts w:ascii="宋体" w:hAnsi="宋体" w:cs="Times New Roman"/>
          <w:bCs/>
          <w:spacing w:val="-1"/>
          <w:szCs w:val="21"/>
        </w:rPr>
        <w:t>（B.</w:t>
      </w:r>
      <w:r>
        <w:rPr>
          <w:rFonts w:ascii="宋体" w:hAnsi="宋体"/>
          <w:bCs/>
          <w:spacing w:val="-1"/>
          <w:szCs w:val="21"/>
        </w:rPr>
        <w:t>3</w:t>
      </w:r>
      <w:r>
        <w:rPr>
          <w:rFonts w:hAnsi="宋体"/>
          <w:bCs/>
          <w:spacing w:val="-1"/>
        </w:rPr>
        <w:t>3</w:t>
      </w:r>
      <w:r>
        <w:rPr>
          <w:rFonts w:ascii="宋体" w:hAnsi="宋体" w:cs="Times New Roman"/>
          <w:bCs/>
          <w:spacing w:val="-1"/>
          <w:szCs w:val="21"/>
        </w:rPr>
        <w:t>）</w:t>
      </w:r>
    </w:p>
    <w:p>
      <w:pPr>
        <w:spacing w:line="240" w:lineRule="auto"/>
        <w:ind w:right="281" w:rightChars="134" w:firstLine="0" w:firstLineChars="0"/>
        <w:jc w:val="right"/>
      </w:pPr>
      <w:r>
        <w:t xml:space="preserve">                                     </w:t>
      </w:r>
      <w:r>
        <w:rPr>
          <w:position w:val="-12"/>
        </w:rPr>
        <w:object>
          <v:shape id="_x0000_i1195" o:spt="75" type="#_x0000_t75" style="height:14.4pt;width:43.85pt;" o:ole="t" filled="f" o:preferrelative="t" stroked="f" coordsize="21600,21600">
            <v:path/>
            <v:fill on="f" focussize="0,0"/>
            <v:stroke on="f" joinstyle="miter"/>
            <v:imagedata r:id="rId337" o:title=""/>
            <o:lock v:ext="edit" aspectratio="t"/>
            <w10:wrap type="none"/>
            <w10:anchorlock/>
          </v:shape>
          <o:OLEObject Type="Embed" ProgID="Equation.DSMT4" ShapeID="_x0000_i1195" DrawAspect="Content" ObjectID="_1468075895" r:id="rId336">
            <o:LockedField>false</o:LockedField>
          </o:OLEObject>
        </w:object>
      </w:r>
      <w:r>
        <w:t xml:space="preserve">                             </w:t>
      </w:r>
      <w:r>
        <w:rPr>
          <w:rFonts w:ascii="宋体" w:hAnsi="宋体" w:cs="Times New Roman"/>
          <w:bCs/>
          <w:spacing w:val="-1"/>
          <w:szCs w:val="21"/>
        </w:rPr>
        <w:t>（B.</w:t>
      </w:r>
      <w:r>
        <w:rPr>
          <w:rFonts w:ascii="宋体" w:hAnsi="宋体"/>
          <w:bCs/>
          <w:spacing w:val="-1"/>
          <w:szCs w:val="21"/>
        </w:rPr>
        <w:t>3</w:t>
      </w:r>
      <w:r>
        <w:rPr>
          <w:rFonts w:hAnsi="宋体"/>
          <w:bCs/>
          <w:spacing w:val="-1"/>
        </w:rPr>
        <w:t>4</w:t>
      </w:r>
      <w:r>
        <w:rPr>
          <w:rFonts w:ascii="宋体" w:hAnsi="宋体" w:cs="Times New Roman"/>
          <w:bCs/>
          <w:spacing w:val="-1"/>
          <w:szCs w:val="21"/>
        </w:rPr>
        <w:t>）</w:t>
      </w:r>
    </w:p>
    <w:p>
      <w:pPr>
        <w:pStyle w:val="15"/>
        <w:spacing w:before="0" w:line="360" w:lineRule="exact"/>
        <w:ind w:left="0" w:firstLine="420"/>
      </w:pPr>
      <w:r>
        <w:rPr>
          <w:rFonts w:hint="eastAsia"/>
        </w:rPr>
        <w:t>式中：</w:t>
      </w:r>
      <w:r>
        <w:rPr>
          <w:rFonts w:ascii="Times New Roman" w:cs="Times New Roman"/>
          <w:position w:val="-6"/>
        </w:rPr>
        <w:object>
          <v:shape id="_x0000_i1196" o:spt="75" type="#_x0000_t75" style="height:14.4pt;width:14.4pt;" o:ole="t" filled="f" o:preferrelative="t" stroked="f" coordsize="21600,21600">
            <v:path/>
            <v:fill on="f" focussize="0,0"/>
            <v:stroke on="f" joinstyle="miter"/>
            <v:imagedata r:id="rId339" o:title=""/>
            <o:lock v:ext="edit" aspectratio="t"/>
            <w10:wrap type="none"/>
            <w10:anchorlock/>
          </v:shape>
          <o:OLEObject Type="Embed" ProgID="Equation.DSMT4" ShapeID="_x0000_i1196" DrawAspect="Content" ObjectID="_1468075896" r:id="rId338">
            <o:LockedField>false</o:LockedField>
          </o:OLEObject>
        </w:object>
      </w:r>
      <w:r>
        <w:rPr>
          <w:rFonts w:hAnsi="宋体"/>
          <w:b/>
        </w:rPr>
        <w:t>——</w:t>
      </w:r>
      <w:r>
        <w:rPr>
          <w:rFonts w:hint="eastAsia"/>
        </w:rPr>
        <w:t>火灾下框架柱的轴压力设计值</w:t>
      </w:r>
      <w:r>
        <w:rPr>
          <w:rFonts w:ascii="Times New Roman" w:cs="Times New Roman"/>
          <w:position w:val="-10"/>
        </w:rPr>
        <w:object>
          <v:shape id="_x0000_i1197" o:spt="75" type="#_x0000_t75" style="height:14.4pt;width:21.9pt;" o:ole="t" filled="f" o:preferrelative="t" stroked="f" coordsize="21600,21600">
            <v:path/>
            <v:fill on="f" focussize="0,0"/>
            <v:stroke on="f" joinstyle="miter"/>
            <v:imagedata r:id="rId341" o:title=""/>
            <o:lock v:ext="edit" aspectratio="t"/>
            <w10:wrap type="none"/>
            <w10:anchorlock/>
          </v:shape>
          <o:OLEObject Type="Embed" ProgID="Equation.DSMT4" ShapeID="_x0000_i1197" DrawAspect="Content" ObjectID="_1468075897" r:id="rId340">
            <o:LockedField>false</o:LockedField>
          </o:OLEObject>
        </w:object>
      </w:r>
      <w:r>
        <w:rPr>
          <w:rFonts w:hint="eastAsia"/>
        </w:rPr>
        <w:t>；</w:t>
      </w:r>
    </w:p>
    <w:p>
      <w:pPr>
        <w:pStyle w:val="15"/>
        <w:spacing w:before="0" w:line="360" w:lineRule="exact"/>
        <w:ind w:left="0" w:firstLine="630" w:firstLineChars="300"/>
      </w:pPr>
      <w:r>
        <w:rPr>
          <w:rFonts w:ascii="Times New Roman" w:cs="Times New Roman"/>
          <w:position w:val="-12"/>
        </w:rPr>
        <w:object>
          <v:shape id="_x0000_i1198" o:spt="75" type="#_x0000_t75" style="height:14.4pt;width:14.4pt;" o:ole="t" filled="f" o:preferrelative="t" stroked="f" coordsize="21600,21600">
            <v:path/>
            <v:fill on="f" focussize="0,0"/>
            <v:stroke on="f" joinstyle="miter"/>
            <v:imagedata r:id="rId343" o:title=""/>
            <o:lock v:ext="edit" aspectratio="t"/>
            <w10:wrap type="none"/>
            <w10:anchorlock/>
          </v:shape>
          <o:OLEObject Type="Embed" ProgID="Equation.DSMT4" ShapeID="_x0000_i1198" DrawAspect="Content" ObjectID="_1468075898" r:id="rId342">
            <o:LockedField>false</o:LockedField>
          </o:OLEObject>
        </w:object>
      </w:r>
      <w:r>
        <w:rPr>
          <w:rFonts w:hAnsi="宋体"/>
          <w:b/>
        </w:rPr>
        <w:t>——</w:t>
      </w:r>
      <w:r>
        <w:rPr>
          <w:rFonts w:hint="eastAsia"/>
        </w:rPr>
        <w:t>按框架平面内或平面外柱的计算长度确定的高温下轴压构件的稳定系数的较小值；</w:t>
      </w:r>
    </w:p>
    <w:p>
      <w:pPr>
        <w:pStyle w:val="15"/>
        <w:spacing w:before="0" w:line="360" w:lineRule="exact"/>
        <w:ind w:left="0" w:firstLine="630" w:firstLineChars="300"/>
      </w:pPr>
      <w:r>
        <w:rPr>
          <w:rFonts w:ascii="Times New Roman" w:cs="Times New Roman"/>
          <w:position w:val="-6"/>
        </w:rPr>
        <w:object>
          <v:shape id="_x0000_i1199" o:spt="75" type="#_x0000_t75" style="height:7.5pt;width:14.4pt;" o:ole="t" filled="f" o:preferrelative="t" stroked="f" coordsize="21600,21600">
            <v:path/>
            <v:fill on="f" focussize="0,0"/>
            <v:stroke on="f" joinstyle="miter"/>
            <v:imagedata r:id="rId345" o:title=""/>
            <o:lock v:ext="edit" aspectratio="t"/>
            <w10:wrap type="none"/>
            <w10:anchorlock/>
          </v:shape>
          <o:OLEObject Type="Embed" ProgID="Equation.DSMT4" ShapeID="_x0000_i1199" DrawAspect="Content" ObjectID="_1468075899" r:id="rId344">
            <o:LockedField>false</o:LockedField>
          </o:OLEObject>
        </w:object>
      </w:r>
      <w:r>
        <w:rPr>
          <w:rFonts w:hAnsi="宋体"/>
          <w:b/>
        </w:rPr>
        <w:t>——</w:t>
      </w:r>
      <w:r>
        <w:rPr>
          <w:rFonts w:hint="eastAsia"/>
        </w:rPr>
        <w:t xml:space="preserve">系数，根据构件的长细比和温度按表 </w:t>
      </w:r>
      <w:r>
        <w:rPr>
          <w:rFonts w:ascii="Times New Roman" w:cs="Times New Roman"/>
          <w:bCs/>
          <w:spacing w:val="-1"/>
          <w:kern w:val="2"/>
        </w:rPr>
        <w:t>B</w:t>
      </w:r>
      <w:r>
        <w:rPr>
          <w:rFonts w:ascii="Times New Roman" w:eastAsia="黑体" w:cs="Times New Roman"/>
          <w:bCs/>
        </w:rPr>
        <w:t>.</w:t>
      </w:r>
      <w:r>
        <w:rPr>
          <w:rFonts w:ascii="Times New Roman" w:cs="Times New Roman"/>
          <w:bCs/>
          <w:spacing w:val="-1"/>
          <w:kern w:val="2"/>
        </w:rPr>
        <w:t xml:space="preserve">1 </w:t>
      </w:r>
      <w:r>
        <w:t>确定</w:t>
      </w:r>
      <w:r>
        <w:rPr>
          <w:rFonts w:hint="eastAsia"/>
        </w:rPr>
        <w:t>；</w:t>
      </w:r>
    </w:p>
    <w:p>
      <w:pPr>
        <w:pStyle w:val="15"/>
        <w:spacing w:before="0" w:line="360" w:lineRule="exact"/>
        <w:ind w:left="1260" w:leftChars="300" w:hanging="630" w:hangingChars="300"/>
        <w:rPr>
          <w:spacing w:val="-8"/>
        </w:rPr>
      </w:pPr>
      <w:r>
        <w:rPr>
          <w:rFonts w:ascii="Times New Roman" w:cs="Times New Roman"/>
          <w:position w:val="-10"/>
        </w:rPr>
        <w:object>
          <v:shape id="_x0000_i1200" o:spt="75" type="#_x0000_t75" style="height:14.4pt;width:7.5pt;" o:ole="t" filled="f" o:preferrelative="t" stroked="f" coordsize="21600,21600">
            <v:path/>
            <v:fill on="f" focussize="0,0"/>
            <v:stroke on="f" joinstyle="miter"/>
            <v:imagedata r:id="rId347" o:title=""/>
            <o:lock v:ext="edit" aspectratio="t"/>
            <w10:wrap type="none"/>
            <w10:anchorlock/>
          </v:shape>
          <o:OLEObject Type="Embed" ProgID="Equation.DSMT4" ShapeID="_x0000_i1200" DrawAspect="Content" ObjectID="_1468075900" r:id="rId346">
            <o:LockedField>false</o:LockedField>
          </o:OLEObject>
        </w:object>
      </w:r>
      <w:r>
        <w:rPr>
          <w:rFonts w:hAnsi="宋体"/>
          <w:b/>
        </w:rPr>
        <w:t>——</w:t>
      </w:r>
      <w:r>
        <w:rPr>
          <w:rFonts w:ascii="Times New Roman" w:cs="Times New Roman"/>
        </w:rPr>
        <w:t>常温下对应长细比和截面类型的轴心受压构件的稳定系数，根据现行国家标准《钢结构设计标准》GB 50017有关规定确定</w:t>
      </w:r>
      <w:r>
        <w:rPr>
          <w:rFonts w:ascii="Times New Roman" w:cs="Times New Roman"/>
          <w:spacing w:val="-8"/>
        </w:rPr>
        <w:t>。</w:t>
      </w:r>
    </w:p>
    <w:p>
      <w:pPr>
        <w:spacing w:line="400" w:lineRule="exact"/>
        <w:ind w:firstLine="0" w:firstLineChars="0"/>
        <w:jc w:val="center"/>
        <w:rPr>
          <w:szCs w:val="21"/>
        </w:rPr>
      </w:pPr>
      <w:r>
        <w:rPr>
          <w:rFonts w:hint="eastAsia" w:ascii="黑体" w:hAnsi="黑体" w:eastAsia="黑体" w:cs="黑体"/>
          <w:bCs/>
          <w:szCs w:val="21"/>
        </w:rPr>
        <w:t>表</w:t>
      </w:r>
      <w:r>
        <w:rPr>
          <w:rFonts w:ascii="黑体" w:hAnsi="黑体" w:eastAsia="黑体" w:cs="黑体"/>
          <w:bCs/>
          <w:szCs w:val="21"/>
        </w:rPr>
        <w:t>B.1</w:t>
      </w:r>
      <w:r>
        <w:rPr>
          <w:rFonts w:hint="eastAsia" w:ascii="黑体" w:hAnsi="黑体" w:eastAsia="黑体"/>
          <w:bCs/>
          <w:szCs w:val="21"/>
        </w:rPr>
        <w:t>　</w:t>
      </w:r>
      <w:r>
        <w:rPr>
          <w:rFonts w:hint="eastAsia" w:ascii="黑体" w:hAnsi="黑体" w:eastAsia="黑体" w:cs="黑体"/>
          <w:bCs/>
          <w:szCs w:val="21"/>
        </w:rPr>
        <w:t>系数</w:t>
      </w:r>
      <w:r>
        <w:rPr>
          <w:rFonts w:ascii="黑体" w:hAnsi="黑体" w:eastAsia="黑体" w:cs="黑体"/>
          <w:bCs/>
          <w:position w:val="-6"/>
          <w:szCs w:val="21"/>
        </w:rPr>
        <w:object>
          <v:shape id="_x0000_i1201" o:spt="75" type="#_x0000_t75" style="height:7.5pt;width:14.4pt;" o:ole="t" filled="f" o:preferrelative="t" stroked="f" coordsize="21600,21600">
            <v:path/>
            <v:fill on="f" focussize="0,0"/>
            <v:stroke on="f" joinstyle="miter"/>
            <v:imagedata r:id="rId349" o:title=""/>
            <o:lock v:ext="edit" aspectratio="t"/>
            <w10:wrap type="none"/>
            <w10:anchorlock/>
          </v:shape>
          <o:OLEObject Type="Embed" ProgID="Equation.DSMT4" ShapeID="_x0000_i1201" DrawAspect="Content" ObjectID="_1468075901" r:id="rId348">
            <o:LockedField>false</o:LockedField>
          </o:OLEObject>
        </w:object>
      </w:r>
      <w:r>
        <w:rPr>
          <w:rFonts w:hint="eastAsia" w:ascii="黑体" w:hAnsi="黑体" w:eastAsia="黑体" w:cs="黑体"/>
          <w:bCs/>
          <w:szCs w:val="21"/>
        </w:rPr>
        <w:t>的确定</w:t>
      </w:r>
    </w:p>
    <w:tbl>
      <w:tblPr>
        <w:tblStyle w:val="34"/>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896"/>
        <w:gridCol w:w="896"/>
        <w:gridCol w:w="896"/>
        <w:gridCol w:w="897"/>
        <w:gridCol w:w="897"/>
        <w:gridCol w:w="897"/>
        <w:gridCol w:w="897"/>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94" w:type="dxa"/>
            <w:tcBorders>
              <w:tl2br w:val="single" w:color="auto" w:sz="4" w:space="0"/>
            </w:tcBorders>
            <w:vAlign w:val="center"/>
          </w:tcPr>
          <w:p>
            <w:pPr>
              <w:spacing w:line="240" w:lineRule="auto"/>
              <w:ind w:firstLine="0" w:firstLineChars="0"/>
              <w:jc w:val="center"/>
              <w:rPr>
                <w:rFonts w:cs="Times New Roman"/>
                <w:sz w:val="18"/>
                <w:szCs w:val="18"/>
              </w:rPr>
            </w:pPr>
            <w:r>
              <w:rPr>
                <w:rFonts w:cs="Times New Roman"/>
                <w:sz w:val="18"/>
                <w:szCs w:val="18"/>
              </w:rPr>
              <w:t xml:space="preserve">         构件温度℃</w:t>
            </w:r>
          </w:p>
          <w:p>
            <w:pPr>
              <w:spacing w:line="240" w:lineRule="auto"/>
              <w:ind w:firstLine="0" w:firstLineChars="0"/>
              <w:rPr>
                <w:rFonts w:cs="Times New Roman"/>
                <w:sz w:val="18"/>
                <w:szCs w:val="18"/>
              </w:rPr>
            </w:pPr>
            <w:r>
              <w:rPr>
                <w:rFonts w:cs="Times New Roman"/>
                <w:sz w:val="18"/>
                <w:szCs w:val="18"/>
              </w:rPr>
              <w:t>构件长细比</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200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300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400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500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550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570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580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4" w:type="dxa"/>
            <w:vAlign w:val="center"/>
          </w:tcPr>
          <w:p>
            <w:pPr>
              <w:spacing w:line="240" w:lineRule="auto"/>
              <w:ind w:firstLine="0" w:firstLineChars="0"/>
              <w:jc w:val="center"/>
              <w:rPr>
                <w:rFonts w:cs="Times New Roman"/>
                <w:sz w:val="18"/>
                <w:szCs w:val="18"/>
              </w:rPr>
            </w:pPr>
            <w:r>
              <w:rPr>
                <w:rFonts w:cs="Times New Roman"/>
                <w:sz w:val="18"/>
                <w:szCs w:val="18"/>
              </w:rPr>
              <w:t>≤50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4"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1.04</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1.08</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1.12</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1.12</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1.05</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0.97</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4" w:type="dxa"/>
            <w:vAlign w:val="center"/>
          </w:tcPr>
          <w:p>
            <w:pPr>
              <w:spacing w:line="240" w:lineRule="auto"/>
              <w:ind w:firstLine="0" w:firstLineChars="0"/>
              <w:jc w:val="center"/>
              <w:rPr>
                <w:rFonts w:cs="Times New Roman"/>
                <w:sz w:val="18"/>
                <w:szCs w:val="18"/>
              </w:rPr>
            </w:pPr>
            <w:r>
              <w:rPr>
                <w:rFonts w:cs="Times New Roman"/>
                <w:sz w:val="18"/>
                <w:szCs w:val="18"/>
              </w:rPr>
              <w:t>150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1.08</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1.14</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1.21</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1.21</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1.11</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0.94</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4" w:type="dxa"/>
            <w:vAlign w:val="center"/>
          </w:tcPr>
          <w:p>
            <w:pPr>
              <w:spacing w:line="240" w:lineRule="auto"/>
              <w:ind w:firstLine="0" w:firstLineChars="0"/>
              <w:jc w:val="center"/>
              <w:rPr>
                <w:rFonts w:cs="Times New Roman"/>
                <w:sz w:val="18"/>
                <w:szCs w:val="18"/>
              </w:rPr>
            </w:pPr>
            <w:r>
              <w:rPr>
                <w:rFonts w:cs="Times New Roman"/>
                <w:sz w:val="18"/>
                <w:szCs w:val="18"/>
              </w:rPr>
              <w:t>≥200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1.10</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1.17</w:t>
            </w:r>
          </w:p>
        </w:tc>
        <w:tc>
          <w:tcPr>
            <w:tcW w:w="896" w:type="dxa"/>
            <w:vAlign w:val="center"/>
          </w:tcPr>
          <w:p>
            <w:pPr>
              <w:spacing w:line="240" w:lineRule="auto"/>
              <w:ind w:firstLine="0" w:firstLineChars="0"/>
              <w:jc w:val="center"/>
              <w:rPr>
                <w:rFonts w:cs="Times New Roman"/>
                <w:sz w:val="18"/>
                <w:szCs w:val="18"/>
              </w:rPr>
            </w:pPr>
            <w:r>
              <w:rPr>
                <w:rFonts w:cs="Times New Roman"/>
                <w:sz w:val="18"/>
                <w:szCs w:val="18"/>
              </w:rPr>
              <w:t>1.25</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1.25</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1.13</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1.00</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0.93</w:t>
            </w:r>
          </w:p>
        </w:tc>
        <w:tc>
          <w:tcPr>
            <w:tcW w:w="897" w:type="dxa"/>
            <w:vAlign w:val="center"/>
          </w:tcPr>
          <w:p>
            <w:pPr>
              <w:spacing w:line="240" w:lineRule="auto"/>
              <w:ind w:firstLine="0" w:firstLineChars="0"/>
              <w:jc w:val="center"/>
              <w:rPr>
                <w:rFonts w:cs="Times New Roman"/>
                <w:sz w:val="18"/>
                <w:szCs w:val="18"/>
              </w:rPr>
            </w:pPr>
            <w:r>
              <w:rPr>
                <w:rFonts w:cs="Times New Roman"/>
                <w:sz w:val="18"/>
                <w:szCs w:val="18"/>
              </w:rPr>
              <w:t>0.68</w:t>
            </w:r>
          </w:p>
        </w:tc>
      </w:tr>
    </w:tbl>
    <w:p>
      <w:pPr>
        <w:spacing w:line="400" w:lineRule="exact"/>
        <w:ind w:firstLine="420"/>
      </w:pPr>
      <w:r>
        <w:rPr>
          <w:rFonts w:hint="eastAsia"/>
        </w:rPr>
        <w:t>对于钢支撑，</w:t>
      </w:r>
      <w:r>
        <w:t>参照框架柱验算</w:t>
      </w:r>
      <w:r>
        <w:rPr>
          <w:rFonts w:hint="eastAsia"/>
        </w:rPr>
        <w:t>构件平面内和平面外的整体稳定性</w:t>
      </w:r>
      <w:r>
        <w:t>。</w:t>
      </w:r>
    </w:p>
    <w:p>
      <w:pPr>
        <w:widowControl/>
        <w:adjustRightInd/>
        <w:spacing w:before="120" w:beforeLines="50" w:after="120" w:afterLines="50" w:line="240" w:lineRule="auto"/>
        <w:ind w:firstLine="0" w:firstLineChars="0"/>
        <w:textAlignment w:val="center"/>
        <w:outlineLvl w:val="1"/>
        <w:rPr>
          <w:rFonts w:ascii="黑体" w:hAnsi="黑体" w:eastAsia="黑体"/>
          <w:kern w:val="0"/>
          <w:szCs w:val="20"/>
        </w:rPr>
      </w:pPr>
      <w:bookmarkStart w:id="262" w:name="_Toc186641529"/>
      <w:r>
        <w:rPr>
          <w:rFonts w:ascii="黑体" w:hAnsi="黑体" w:eastAsia="黑体"/>
          <w:kern w:val="0"/>
          <w:szCs w:val="20"/>
        </w:rPr>
        <w:t>B.3</w:t>
      </w:r>
      <w:r>
        <w:rPr>
          <w:rFonts w:hint="eastAsia" w:ascii="黑体" w:hAnsi="黑体" w:eastAsia="黑体"/>
          <w:kern w:val="0"/>
          <w:szCs w:val="20"/>
        </w:rPr>
        <w:t>　防火构造要求</w:t>
      </w:r>
      <w:bookmarkEnd w:id="262"/>
    </w:p>
    <w:p>
      <w:pPr>
        <w:pStyle w:val="4"/>
        <w:numPr>
          <w:ilvl w:val="0"/>
          <w:numId w:val="0"/>
        </w:numPr>
        <w:ind w:right="210"/>
      </w:pPr>
      <w:r>
        <w:rPr>
          <w:rFonts w:ascii="黑体" w:hAnsi="黑体" w:eastAsia="黑体"/>
        </w:rPr>
        <w:t>B.3.1</w:t>
      </w:r>
      <w:r>
        <w:rPr>
          <w:rFonts w:hint="eastAsia"/>
        </w:rPr>
        <w:t>　防火材料所选用的防火涂料和防火板应提供有资格单位出具的材性参数测试数据。各类防火涂料的特性及适用范围按</w:t>
      </w:r>
      <w:r>
        <w:tab/>
      </w:r>
      <w:r>
        <w:t>《建筑钢结构防火技术规范》及《钢结构防火涂料》相关要求。</w:t>
      </w:r>
      <w:r>
        <w:rPr>
          <w:rFonts w:hint="eastAsia"/>
        </w:rPr>
        <w:t>采用涂敷防火涂料的防火保护构造宜按图</w:t>
      </w:r>
      <w:r>
        <w:t>B.1</w:t>
      </w:r>
      <w:r>
        <w:rPr>
          <w:rFonts w:hint="eastAsia"/>
        </w:rPr>
        <w:t>选用。</w:t>
      </w:r>
    </w:p>
    <w:p>
      <w:pPr>
        <w:spacing w:before="120"/>
        <w:ind w:firstLine="0" w:firstLineChars="0"/>
        <w:jc w:val="center"/>
      </w:pPr>
      <w:r>
        <w:drawing>
          <wp:inline distT="0" distB="0" distL="0" distR="0">
            <wp:extent cx="5476875" cy="1331595"/>
            <wp:effectExtent l="0" t="0" r="0" b="190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350">
                      <a:extLst>
                        <a:ext uri="{28A0092B-C50C-407E-A947-70E740481C1C}">
                          <a14:useLocalDpi xmlns:a14="http://schemas.microsoft.com/office/drawing/2010/main" val="false"/>
                        </a:ext>
                      </a:extLst>
                    </a:blip>
                    <a:srcRect/>
                    <a:stretch>
                      <a:fillRect/>
                    </a:stretch>
                  </pic:blipFill>
                  <pic:spPr>
                    <a:xfrm>
                      <a:off x="0" y="0"/>
                      <a:ext cx="5477444" cy="1332000"/>
                    </a:xfrm>
                    <a:prstGeom prst="rect">
                      <a:avLst/>
                    </a:prstGeom>
                    <a:noFill/>
                    <a:ln>
                      <a:noFill/>
                    </a:ln>
                  </pic:spPr>
                </pic:pic>
              </a:graphicData>
            </a:graphic>
          </wp:inline>
        </w:drawing>
      </w:r>
    </w:p>
    <w:p>
      <w:pPr>
        <w:pStyle w:val="75"/>
        <w:numPr>
          <w:ilvl w:val="0"/>
          <w:numId w:val="41"/>
        </w:numPr>
        <w:ind w:firstLine="360"/>
        <w:jc w:val="center"/>
      </w:pPr>
      <w:r>
        <w:t>柱</w:t>
      </w:r>
    </w:p>
    <w:p>
      <w:pPr>
        <w:spacing w:before="120"/>
        <w:ind w:firstLine="0" w:firstLineChars="0"/>
        <w:jc w:val="center"/>
      </w:pPr>
      <w:r>
        <w:drawing>
          <wp:inline distT="0" distB="0" distL="0" distR="0">
            <wp:extent cx="4730750" cy="161925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351">
                      <a:extLst>
                        <a:ext uri="{28A0092B-C50C-407E-A947-70E740481C1C}">
                          <a14:useLocalDpi xmlns:a14="http://schemas.microsoft.com/office/drawing/2010/main" val="false"/>
                        </a:ext>
                      </a:extLst>
                    </a:blip>
                    <a:srcRect/>
                    <a:stretch>
                      <a:fillRect/>
                    </a:stretch>
                  </pic:blipFill>
                  <pic:spPr>
                    <a:xfrm>
                      <a:off x="0" y="0"/>
                      <a:ext cx="4730750" cy="1619250"/>
                    </a:xfrm>
                    <a:prstGeom prst="rect">
                      <a:avLst/>
                    </a:prstGeom>
                    <a:noFill/>
                    <a:ln>
                      <a:noFill/>
                    </a:ln>
                  </pic:spPr>
                </pic:pic>
              </a:graphicData>
            </a:graphic>
          </wp:inline>
        </w:drawing>
      </w:r>
    </w:p>
    <w:p>
      <w:pPr>
        <w:pStyle w:val="75"/>
        <w:numPr>
          <w:ilvl w:val="0"/>
          <w:numId w:val="41"/>
        </w:numPr>
        <w:ind w:firstLine="360"/>
        <w:jc w:val="center"/>
      </w:pPr>
      <w:r>
        <w:rPr>
          <w:rFonts w:hint="eastAsia"/>
        </w:rPr>
        <w:t>梁</w:t>
      </w:r>
    </w:p>
    <w:p>
      <w:pPr>
        <w:spacing w:line="400" w:lineRule="exact"/>
        <w:ind w:firstLine="0" w:firstLineChars="0"/>
        <w:jc w:val="center"/>
        <w:rPr>
          <w:rFonts w:ascii="黑体" w:hAnsi="黑体" w:eastAsia="黑体"/>
        </w:rPr>
      </w:pPr>
      <w:r>
        <w:rPr>
          <w:rFonts w:hint="eastAsia" w:ascii="黑体" w:hAnsi="黑体" w:eastAsia="黑体"/>
        </w:rPr>
        <w:t>图</w:t>
      </w:r>
      <w:r>
        <w:rPr>
          <w:rFonts w:ascii="黑体" w:hAnsi="黑体" w:eastAsia="黑体"/>
          <w:bCs/>
        </w:rPr>
        <w:t>B.1</w:t>
      </w:r>
      <w:r>
        <w:rPr>
          <w:rFonts w:hint="eastAsia" w:ascii="黑体" w:hAnsi="黑体" w:eastAsia="黑体" w:cs="黑体"/>
        </w:rPr>
        <w:t>　</w:t>
      </w:r>
      <w:r>
        <w:rPr>
          <w:rFonts w:hint="eastAsia" w:ascii="黑体" w:hAnsi="黑体" w:eastAsia="黑体"/>
        </w:rPr>
        <w:t>采用防火涂料钢结构防火保护构造</w:t>
      </w:r>
    </w:p>
    <w:p>
      <w:pPr>
        <w:pStyle w:val="4"/>
        <w:numPr>
          <w:ilvl w:val="0"/>
          <w:numId w:val="0"/>
        </w:numPr>
        <w:ind w:right="210"/>
      </w:pPr>
      <w:r>
        <w:rPr>
          <w:rFonts w:ascii="黑体" w:hAnsi="黑体" w:eastAsia="黑体"/>
        </w:rPr>
        <w:t>B.3.2</w:t>
      </w:r>
      <w:r>
        <w:rPr>
          <w:rFonts w:hint="eastAsia"/>
        </w:rPr>
        <w:t>　采用防火厚板的防火保护构造宜按图</w:t>
      </w:r>
      <w:r>
        <w:t>B.2</w:t>
      </w:r>
      <w:r>
        <w:rPr>
          <w:rFonts w:hint="eastAsia"/>
        </w:rPr>
        <w:t>和图</w:t>
      </w:r>
      <w:r>
        <w:t>B.3</w:t>
      </w:r>
      <w:r>
        <w:rPr>
          <w:rFonts w:hint="eastAsia"/>
        </w:rPr>
        <w:t>选用。其中图</w:t>
      </w:r>
      <w:r>
        <w:t>B.2</w:t>
      </w:r>
      <w:r>
        <w:rPr>
          <w:rFonts w:hint="eastAsia"/>
        </w:rPr>
        <w:t>采用龙骨的构造形式，图</w:t>
      </w:r>
      <w:r>
        <w:t>B.3</w:t>
      </w:r>
      <w:r>
        <w:rPr>
          <w:rFonts w:hint="eastAsia"/>
        </w:rPr>
        <w:t>为不用龙骨，采用自身材料为固定块（底材）铺以高温耐</w:t>
      </w:r>
      <w:r>
        <w:rPr>
          <w:spacing w:val="-98"/>
        </w:rPr>
        <w:t xml:space="preserve"> </w:t>
      </w:r>
      <w:r>
        <w:rPr>
          <w:rFonts w:hint="eastAsia"/>
        </w:rPr>
        <w:t>火胶粘剂。</w:t>
      </w:r>
    </w:p>
    <w:p>
      <w:pPr>
        <w:spacing w:before="120"/>
        <w:ind w:firstLine="0" w:firstLineChars="0"/>
        <w:jc w:val="center"/>
      </w:pPr>
      <w:r>
        <w:rPr>
          <w:rFonts w:hint="eastAsia"/>
        </w:rPr>
        <w:drawing>
          <wp:inline distT="0" distB="0" distL="0" distR="0">
            <wp:extent cx="4908550" cy="1473200"/>
            <wp:effectExtent l="0" t="0" r="6350" b="1270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352">
                      <a:extLst>
                        <a:ext uri="{28A0092B-C50C-407E-A947-70E740481C1C}">
                          <a14:useLocalDpi xmlns:a14="http://schemas.microsoft.com/office/drawing/2010/main" val="false"/>
                        </a:ext>
                      </a:extLst>
                    </a:blip>
                    <a:srcRect/>
                    <a:stretch>
                      <a:fillRect/>
                    </a:stretch>
                  </pic:blipFill>
                  <pic:spPr>
                    <a:xfrm>
                      <a:off x="0" y="0"/>
                      <a:ext cx="4908550" cy="1473200"/>
                    </a:xfrm>
                    <a:prstGeom prst="rect">
                      <a:avLst/>
                    </a:prstGeom>
                    <a:noFill/>
                    <a:ln>
                      <a:noFill/>
                    </a:ln>
                  </pic:spPr>
                </pic:pic>
              </a:graphicData>
            </a:graphic>
          </wp:inline>
        </w:drawing>
      </w:r>
    </w:p>
    <w:p>
      <w:pPr>
        <w:spacing w:after="120"/>
        <w:ind w:firstLine="0" w:firstLineChars="0"/>
        <w:jc w:val="center"/>
      </w:pPr>
      <w:r>
        <w:rPr>
          <w:rFonts w:ascii="黑体" w:hAnsi="黑体" w:eastAsia="黑体"/>
        </w:rPr>
        <w:t>图</w:t>
      </w:r>
      <w:r>
        <w:rPr>
          <w:rFonts w:ascii="黑体" w:hAnsi="黑体" w:eastAsia="黑体"/>
          <w:bCs/>
        </w:rPr>
        <w:t>B.2</w:t>
      </w:r>
      <w:r>
        <w:rPr>
          <w:rFonts w:hint="eastAsia" w:ascii="黑体" w:hAnsi="黑体" w:eastAsia="黑体" w:cs="黑体"/>
        </w:rPr>
        <w:t>　</w:t>
      </w:r>
      <w:r>
        <w:rPr>
          <w:rFonts w:ascii="黑体" w:hAnsi="黑体" w:eastAsia="黑体"/>
        </w:rPr>
        <w:t>采用防火</w:t>
      </w:r>
      <w:r>
        <w:rPr>
          <w:rFonts w:hint="eastAsia" w:ascii="黑体" w:hAnsi="黑体" w:eastAsia="黑体"/>
        </w:rPr>
        <w:t>厚板</w:t>
      </w:r>
      <w:r>
        <w:rPr>
          <w:rFonts w:ascii="黑体" w:hAnsi="黑体" w:eastAsia="黑体"/>
        </w:rPr>
        <w:t>钢结构防火构造（采用龙骨作为骨架）</w:t>
      </w:r>
    </w:p>
    <w:p>
      <w:pPr>
        <w:spacing w:after="120"/>
        <w:ind w:firstLine="0" w:firstLineChars="0"/>
        <w:jc w:val="center"/>
      </w:pPr>
      <w:r>
        <w:drawing>
          <wp:inline distT="0" distB="0" distL="0" distR="0">
            <wp:extent cx="5901690" cy="1331595"/>
            <wp:effectExtent l="0" t="0" r="3810" b="190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353">
                      <a:extLst>
                        <a:ext uri="{28A0092B-C50C-407E-A947-70E740481C1C}">
                          <a14:useLocalDpi xmlns:a14="http://schemas.microsoft.com/office/drawing/2010/main" val="false"/>
                        </a:ext>
                      </a:extLst>
                    </a:blip>
                    <a:srcRect/>
                    <a:stretch>
                      <a:fillRect/>
                    </a:stretch>
                  </pic:blipFill>
                  <pic:spPr>
                    <a:xfrm>
                      <a:off x="0" y="0"/>
                      <a:ext cx="5902138" cy="1332000"/>
                    </a:xfrm>
                    <a:prstGeom prst="rect">
                      <a:avLst/>
                    </a:prstGeom>
                    <a:noFill/>
                    <a:ln>
                      <a:noFill/>
                    </a:ln>
                  </pic:spPr>
                </pic:pic>
              </a:graphicData>
            </a:graphic>
          </wp:inline>
        </w:drawing>
      </w:r>
    </w:p>
    <w:p>
      <w:pPr>
        <w:pStyle w:val="75"/>
        <w:numPr>
          <w:ilvl w:val="0"/>
          <w:numId w:val="42"/>
        </w:numPr>
        <w:ind w:firstLine="360"/>
      </w:pPr>
      <w:r>
        <w:t>柱</w:t>
      </w:r>
      <w:r>
        <w:rPr>
          <w:rFonts w:hint="eastAsia"/>
        </w:rPr>
        <w:t xml:space="preserve"> </w:t>
      </w:r>
      <w:r>
        <w:t xml:space="preserve">                                      </w:t>
      </w:r>
      <w:r>
        <w:rPr>
          <w:rFonts w:hint="eastAsia"/>
        </w:rPr>
        <w:t>(</w:t>
      </w:r>
      <w:r>
        <w:t>b) 梁</w:t>
      </w:r>
    </w:p>
    <w:p>
      <w:pPr>
        <w:spacing w:line="400" w:lineRule="exact"/>
        <w:ind w:firstLine="0" w:firstLineChars="0"/>
        <w:jc w:val="center"/>
      </w:pPr>
      <w:r>
        <w:rPr>
          <w:rFonts w:ascii="黑体" w:hAnsi="黑体" w:eastAsia="黑体"/>
        </w:rPr>
        <w:t>图</w:t>
      </w:r>
      <w:r>
        <w:rPr>
          <w:rFonts w:ascii="黑体" w:hAnsi="黑体" w:eastAsia="黑体"/>
          <w:bCs/>
        </w:rPr>
        <w:t>B.3</w:t>
      </w:r>
      <w:r>
        <w:rPr>
          <w:rFonts w:hint="eastAsia" w:ascii="黑体" w:hAnsi="黑体" w:eastAsia="黑体" w:cs="黑体"/>
        </w:rPr>
        <w:t>　</w:t>
      </w:r>
      <w:r>
        <w:rPr>
          <w:rFonts w:ascii="黑体" w:hAnsi="黑体" w:eastAsia="黑体"/>
        </w:rPr>
        <w:t>采用防火</w:t>
      </w:r>
      <w:r>
        <w:rPr>
          <w:rFonts w:hint="eastAsia" w:ascii="黑体" w:hAnsi="黑体" w:eastAsia="黑体"/>
        </w:rPr>
        <w:t>厚板</w:t>
      </w:r>
      <w:r>
        <w:rPr>
          <w:rFonts w:ascii="黑体" w:hAnsi="黑体" w:eastAsia="黑体"/>
        </w:rPr>
        <w:t>钢结构防火构造</w:t>
      </w:r>
    </w:p>
    <w:p>
      <w:pPr>
        <w:spacing w:line="400" w:lineRule="exact"/>
        <w:ind w:firstLine="0" w:firstLineChars="0"/>
        <w:jc w:val="center"/>
      </w:pPr>
      <w:r>
        <w:rPr>
          <w:rFonts w:ascii="黑体" w:hAnsi="黑体" w:eastAsia="黑体"/>
        </w:rPr>
        <w:t>（采用</w:t>
      </w:r>
      <w:r>
        <w:rPr>
          <w:rFonts w:hint="eastAsia" w:ascii="黑体" w:hAnsi="黑体" w:eastAsia="黑体"/>
        </w:rPr>
        <w:t>自身材料为固定块（底材）铺以高温耐火胶粘剂</w:t>
      </w:r>
      <w:r>
        <w:rPr>
          <w:rFonts w:ascii="黑体" w:hAnsi="黑体" w:eastAsia="黑体"/>
        </w:rPr>
        <w:t>）</w:t>
      </w:r>
    </w:p>
    <w:p>
      <w:pPr>
        <w:spacing w:after="120"/>
        <w:ind w:firstLine="0" w:firstLineChars="0"/>
      </w:pPr>
      <w:r>
        <w:rPr>
          <w:rFonts w:ascii="黑体" w:hAnsi="黑体" w:eastAsia="黑体"/>
        </w:rPr>
        <w:t>B.3.3</w:t>
      </w:r>
      <w:r>
        <w:rPr>
          <w:rFonts w:hint="eastAsia"/>
        </w:rPr>
        <w:t>　采用复合构造的防火构造（以防火涂料或柔性隔热材料为防火材料，以防火薄板为护面板）宜按图</w:t>
      </w:r>
      <w:r>
        <w:t>B.4</w:t>
      </w:r>
      <w:r>
        <w:rPr>
          <w:rFonts w:hint="eastAsia"/>
        </w:rPr>
        <w:t>选用。</w:t>
      </w:r>
    </w:p>
    <w:p>
      <w:pPr>
        <w:spacing w:before="120"/>
        <w:ind w:firstLine="0" w:firstLineChars="0"/>
        <w:jc w:val="center"/>
      </w:pPr>
      <w:r>
        <w:drawing>
          <wp:inline distT="0" distB="0" distL="0" distR="0">
            <wp:extent cx="5122545" cy="1439545"/>
            <wp:effectExtent l="0" t="0" r="1905" b="8255"/>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noChangeArrowheads="true"/>
                    </pic:cNvPicPr>
                  </pic:nvPicPr>
                  <pic:blipFill>
                    <a:blip r:embed="rId354">
                      <a:extLst>
                        <a:ext uri="{28A0092B-C50C-407E-A947-70E740481C1C}">
                          <a14:useLocalDpi xmlns:a14="http://schemas.microsoft.com/office/drawing/2010/main" val="false"/>
                        </a:ext>
                      </a:extLst>
                    </a:blip>
                    <a:srcRect/>
                    <a:stretch>
                      <a:fillRect/>
                    </a:stretch>
                  </pic:blipFill>
                  <pic:spPr>
                    <a:xfrm>
                      <a:off x="0" y="0"/>
                      <a:ext cx="5122949" cy="1440000"/>
                    </a:xfrm>
                    <a:prstGeom prst="rect">
                      <a:avLst/>
                    </a:prstGeom>
                    <a:noFill/>
                    <a:ln>
                      <a:noFill/>
                    </a:ln>
                  </pic:spPr>
                </pic:pic>
              </a:graphicData>
            </a:graphic>
          </wp:inline>
        </w:drawing>
      </w:r>
    </w:p>
    <w:p>
      <w:pPr>
        <w:spacing w:after="120"/>
        <w:ind w:firstLine="0" w:firstLineChars="0"/>
        <w:jc w:val="center"/>
      </w:pPr>
      <w:r>
        <w:rPr>
          <w:rFonts w:ascii="黑体" w:hAnsi="黑体" w:eastAsia="黑体"/>
        </w:rPr>
        <w:t>图</w:t>
      </w:r>
      <w:r>
        <w:rPr>
          <w:rFonts w:ascii="黑体" w:hAnsi="黑体" w:eastAsia="黑体"/>
          <w:bCs/>
        </w:rPr>
        <w:t>B.4</w:t>
      </w:r>
      <w:r>
        <w:rPr>
          <w:rFonts w:hint="eastAsia" w:ascii="黑体" w:hAnsi="黑体" w:eastAsia="黑体" w:cs="黑体"/>
        </w:rPr>
        <w:t>　</w:t>
      </w:r>
      <w:r>
        <w:rPr>
          <w:rFonts w:ascii="黑体" w:hAnsi="黑体" w:eastAsia="黑体"/>
        </w:rPr>
        <w:t>采用复合钢结构防火保护构造</w:t>
      </w:r>
    </w:p>
    <w:p>
      <w:pPr>
        <w:pStyle w:val="107"/>
        <w:numPr>
          <w:ilvl w:val="2"/>
          <w:numId w:val="0"/>
        </w:numPr>
        <w:spacing w:before="0" w:beforeLines="0" w:after="0" w:afterLines="0"/>
        <w:jc w:val="center"/>
        <w:textAlignment w:val="center"/>
        <w:outlineLvl w:val="0"/>
        <w:rPr>
          <w:rFonts w:ascii="Times New Roman"/>
        </w:rPr>
      </w:pPr>
      <w:bookmarkStart w:id="263" w:name="_Toc186641530"/>
      <w:r>
        <w:rPr>
          <w:rFonts w:ascii="Times New Roman"/>
        </w:rPr>
        <w:t>附录C</w:t>
      </w:r>
      <w:bookmarkEnd w:id="263"/>
    </w:p>
    <w:p>
      <w:pPr>
        <w:pStyle w:val="107"/>
        <w:numPr>
          <w:ilvl w:val="2"/>
          <w:numId w:val="0"/>
        </w:numPr>
        <w:spacing w:before="0" w:beforeLines="0" w:after="0" w:afterLines="0"/>
        <w:jc w:val="center"/>
        <w:textAlignment w:val="center"/>
        <w:outlineLvl w:val="0"/>
        <w:rPr>
          <w:rFonts w:ascii="Times New Roman"/>
        </w:rPr>
      </w:pPr>
      <w:bookmarkStart w:id="264" w:name="_Toc186641531"/>
      <w:r>
        <w:rPr>
          <w:rFonts w:hint="eastAsia" w:ascii="Times New Roman"/>
        </w:rPr>
        <w:t>（资料性）</w:t>
      </w:r>
      <w:bookmarkEnd w:id="264"/>
    </w:p>
    <w:p>
      <w:pPr>
        <w:pStyle w:val="107"/>
        <w:numPr>
          <w:ilvl w:val="2"/>
          <w:numId w:val="0"/>
        </w:numPr>
        <w:spacing w:before="0" w:beforeLines="0" w:after="0" w:afterLines="0"/>
        <w:jc w:val="center"/>
        <w:textAlignment w:val="center"/>
        <w:outlineLvl w:val="0"/>
        <w:rPr>
          <w:rFonts w:ascii="Times New Roman"/>
        </w:rPr>
      </w:pPr>
      <w:bookmarkStart w:id="265" w:name="_Toc186641532"/>
      <w:r>
        <w:rPr>
          <w:rFonts w:hint="eastAsia"/>
        </w:rPr>
        <w:t>钢结构防腐材料及选用表</w:t>
      </w:r>
      <w:bookmarkEnd w:id="265"/>
    </w:p>
    <w:p>
      <w:pPr>
        <w:pStyle w:val="63"/>
        <w:ind w:firstLine="0" w:firstLineChars="0"/>
      </w:pPr>
    </w:p>
    <w:p>
      <w:pPr>
        <w:widowControl/>
        <w:adjustRightInd/>
        <w:spacing w:before="120" w:beforeLines="50" w:after="120" w:afterLines="50" w:line="240" w:lineRule="auto"/>
        <w:ind w:firstLine="0" w:firstLineChars="0"/>
        <w:textAlignment w:val="center"/>
        <w:outlineLvl w:val="1"/>
        <w:rPr>
          <w:rFonts w:ascii="黑体" w:hAnsi="黑体" w:eastAsia="黑体"/>
          <w:kern w:val="0"/>
          <w:szCs w:val="20"/>
        </w:rPr>
      </w:pPr>
      <w:bookmarkStart w:id="266" w:name="_Toc186641533"/>
      <w:r>
        <w:rPr>
          <w:rFonts w:ascii="黑体" w:hAnsi="黑体" w:eastAsia="黑体"/>
          <w:kern w:val="0"/>
          <w:szCs w:val="20"/>
        </w:rPr>
        <w:t>C.1</w:t>
      </w:r>
      <w:r>
        <w:rPr>
          <w:rFonts w:hint="eastAsia" w:ascii="黑体" w:hAnsi="黑体" w:eastAsia="黑体"/>
          <w:kern w:val="0"/>
          <w:szCs w:val="20"/>
        </w:rPr>
        <w:t>　</w:t>
      </w:r>
      <w:r>
        <w:rPr>
          <w:b/>
        </w:rPr>
        <w:t>环境中介质对钢结构长期作用下的腐蚀性等级可划分为：很低（C1）、低（C2）、中等（C3）、高（C4）、很高（C5）5个等级，</w:t>
      </w:r>
      <w:r>
        <w:rPr>
          <w:rFonts w:hint="eastAsia"/>
          <w:b/>
        </w:rPr>
        <w:t>详</w:t>
      </w:r>
      <w:r>
        <w:rPr>
          <w:b/>
        </w:rPr>
        <w:t>表C.1。</w:t>
      </w:r>
      <w:bookmarkEnd w:id="266"/>
    </w:p>
    <w:p>
      <w:pPr>
        <w:pStyle w:val="15"/>
        <w:spacing w:before="0" w:line="400" w:lineRule="exact"/>
        <w:ind w:left="0"/>
        <w:jc w:val="center"/>
        <w:rPr>
          <w:rFonts w:ascii="黑体" w:hAnsi="黑体" w:eastAsia="黑体"/>
        </w:rPr>
      </w:pPr>
      <w:r>
        <w:rPr>
          <w:rFonts w:ascii="黑体" w:hAnsi="黑体" w:eastAsia="黑体"/>
        </w:rPr>
        <w:t>表C.1</w:t>
      </w:r>
      <w:r>
        <w:rPr>
          <w:rFonts w:hint="eastAsia" w:ascii="黑体" w:hAnsi="黑体" w:eastAsia="黑体"/>
          <w:bCs/>
        </w:rPr>
        <w:t>　</w:t>
      </w:r>
      <w:r>
        <w:rPr>
          <w:rFonts w:ascii="黑体" w:hAnsi="黑体" w:eastAsia="黑体"/>
        </w:rPr>
        <w:t>钢结构腐蚀性等级分类</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37"/>
        <w:gridCol w:w="1021"/>
        <w:gridCol w:w="1021"/>
        <w:gridCol w:w="1021"/>
        <w:gridCol w:w="1021"/>
        <w:gridCol w:w="1889"/>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blHeader/>
          <w:jc w:val="center"/>
        </w:trPr>
        <w:tc>
          <w:tcPr>
            <w:tcW w:w="737" w:type="dxa"/>
            <w:vMerge w:val="restart"/>
            <w:vAlign w:val="center"/>
          </w:tcPr>
          <w:p>
            <w:pPr>
              <w:ind w:firstLine="0" w:firstLineChars="0"/>
              <w:jc w:val="center"/>
              <w:rPr>
                <w:rFonts w:cs="Times New Roman"/>
                <w:sz w:val="18"/>
                <w:szCs w:val="18"/>
              </w:rPr>
            </w:pPr>
            <w:r>
              <w:rPr>
                <w:rFonts w:cs="Times New Roman"/>
                <w:sz w:val="18"/>
                <w:szCs w:val="18"/>
              </w:rPr>
              <w:t>腐蚀性</w:t>
            </w:r>
          </w:p>
          <w:p>
            <w:pPr>
              <w:ind w:firstLine="0" w:firstLineChars="0"/>
              <w:jc w:val="center"/>
              <w:rPr>
                <w:rFonts w:cs="Times New Roman"/>
                <w:sz w:val="18"/>
                <w:szCs w:val="18"/>
              </w:rPr>
            </w:pPr>
            <w:r>
              <w:rPr>
                <w:rFonts w:cs="Times New Roman"/>
                <w:sz w:val="18"/>
                <w:szCs w:val="18"/>
              </w:rPr>
              <w:t>等级</w:t>
            </w:r>
          </w:p>
        </w:tc>
        <w:tc>
          <w:tcPr>
            <w:tcW w:w="4084" w:type="dxa"/>
            <w:gridSpan w:val="4"/>
            <w:vAlign w:val="center"/>
          </w:tcPr>
          <w:p>
            <w:pPr>
              <w:ind w:firstLine="0" w:firstLineChars="0"/>
              <w:jc w:val="center"/>
              <w:rPr>
                <w:rFonts w:cs="Times New Roman"/>
                <w:sz w:val="18"/>
                <w:szCs w:val="18"/>
              </w:rPr>
            </w:pPr>
            <w:r>
              <w:rPr>
                <w:rFonts w:cs="Times New Roman"/>
                <w:sz w:val="18"/>
                <w:szCs w:val="18"/>
              </w:rPr>
              <w:t>单位面积上质量的损失（第一年）</w:t>
            </w:r>
          </w:p>
        </w:tc>
        <w:tc>
          <w:tcPr>
            <w:tcW w:w="3970" w:type="dxa"/>
            <w:gridSpan w:val="2"/>
            <w:vAlign w:val="center"/>
          </w:tcPr>
          <w:p>
            <w:pPr>
              <w:ind w:firstLine="0" w:firstLineChars="0"/>
              <w:jc w:val="center"/>
              <w:rPr>
                <w:rFonts w:cs="Times New Roman"/>
                <w:sz w:val="18"/>
                <w:szCs w:val="18"/>
              </w:rPr>
            </w:pPr>
            <w:r>
              <w:rPr>
                <w:rFonts w:cs="Times New Roman"/>
                <w:sz w:val="18"/>
                <w:szCs w:val="18"/>
              </w:rPr>
              <w:t>典型环境（仅作参考）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blHeader/>
          <w:jc w:val="center"/>
        </w:trPr>
        <w:tc>
          <w:tcPr>
            <w:tcW w:w="737" w:type="dxa"/>
            <w:vMerge w:val="continue"/>
            <w:vAlign w:val="center"/>
          </w:tcPr>
          <w:p>
            <w:pPr>
              <w:ind w:firstLine="0" w:firstLineChars="0"/>
              <w:jc w:val="center"/>
              <w:rPr>
                <w:rFonts w:cs="Times New Roman"/>
                <w:sz w:val="18"/>
                <w:szCs w:val="18"/>
              </w:rPr>
            </w:pPr>
          </w:p>
        </w:tc>
        <w:tc>
          <w:tcPr>
            <w:tcW w:w="2042" w:type="dxa"/>
            <w:gridSpan w:val="2"/>
            <w:vAlign w:val="center"/>
          </w:tcPr>
          <w:p>
            <w:pPr>
              <w:ind w:firstLine="0" w:firstLineChars="0"/>
              <w:jc w:val="center"/>
              <w:rPr>
                <w:rFonts w:cs="Times New Roman"/>
                <w:sz w:val="18"/>
                <w:szCs w:val="18"/>
              </w:rPr>
            </w:pPr>
            <w:r>
              <w:rPr>
                <w:rFonts w:cs="Times New Roman"/>
                <w:sz w:val="18"/>
                <w:szCs w:val="18"/>
              </w:rPr>
              <w:t>低碳钢</w:t>
            </w:r>
          </w:p>
        </w:tc>
        <w:tc>
          <w:tcPr>
            <w:tcW w:w="2042" w:type="dxa"/>
            <w:gridSpan w:val="2"/>
            <w:vAlign w:val="center"/>
          </w:tcPr>
          <w:p>
            <w:pPr>
              <w:ind w:firstLine="0" w:firstLineChars="0"/>
              <w:jc w:val="center"/>
              <w:rPr>
                <w:rFonts w:cs="Times New Roman"/>
                <w:sz w:val="18"/>
                <w:szCs w:val="18"/>
              </w:rPr>
            </w:pPr>
            <w:r>
              <w:rPr>
                <w:rFonts w:cs="Times New Roman"/>
                <w:sz w:val="18"/>
                <w:szCs w:val="18"/>
              </w:rPr>
              <w:t>锌</w:t>
            </w:r>
          </w:p>
        </w:tc>
        <w:tc>
          <w:tcPr>
            <w:tcW w:w="1889" w:type="dxa"/>
            <w:vMerge w:val="restart"/>
            <w:vAlign w:val="center"/>
          </w:tcPr>
          <w:p>
            <w:pPr>
              <w:ind w:firstLine="0" w:firstLineChars="0"/>
              <w:jc w:val="center"/>
              <w:rPr>
                <w:rFonts w:cs="Times New Roman"/>
                <w:sz w:val="18"/>
                <w:szCs w:val="18"/>
              </w:rPr>
            </w:pPr>
            <w:r>
              <w:rPr>
                <w:rFonts w:cs="Times New Roman"/>
                <w:sz w:val="18"/>
                <w:szCs w:val="18"/>
              </w:rPr>
              <w:t>外部</w:t>
            </w:r>
          </w:p>
        </w:tc>
        <w:tc>
          <w:tcPr>
            <w:tcW w:w="2081" w:type="dxa"/>
            <w:vMerge w:val="restart"/>
            <w:vAlign w:val="center"/>
          </w:tcPr>
          <w:p>
            <w:pPr>
              <w:ind w:firstLine="0" w:firstLineChars="0"/>
              <w:jc w:val="center"/>
              <w:rPr>
                <w:rFonts w:cs="Times New Roman"/>
                <w:sz w:val="18"/>
                <w:szCs w:val="18"/>
              </w:rPr>
            </w:pPr>
            <w:r>
              <w:rPr>
                <w:rFonts w:cs="Times New Roman"/>
                <w:sz w:val="18"/>
                <w:szCs w:val="18"/>
              </w:rPr>
              <w:t>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blHeader/>
          <w:jc w:val="center"/>
        </w:trPr>
        <w:tc>
          <w:tcPr>
            <w:tcW w:w="737" w:type="dxa"/>
            <w:vMerge w:val="continue"/>
            <w:vAlign w:val="center"/>
          </w:tcPr>
          <w:p>
            <w:pPr>
              <w:ind w:firstLine="0" w:firstLineChars="0"/>
              <w:jc w:val="center"/>
              <w:rPr>
                <w:rFonts w:cs="Times New Roman"/>
                <w:sz w:val="18"/>
                <w:szCs w:val="18"/>
              </w:rPr>
            </w:pPr>
          </w:p>
        </w:tc>
        <w:tc>
          <w:tcPr>
            <w:tcW w:w="1021" w:type="dxa"/>
            <w:vAlign w:val="center"/>
          </w:tcPr>
          <w:p>
            <w:pPr>
              <w:ind w:firstLine="0" w:firstLineChars="0"/>
              <w:jc w:val="center"/>
              <w:rPr>
                <w:rFonts w:cs="Times New Roman"/>
                <w:sz w:val="18"/>
                <w:szCs w:val="18"/>
              </w:rPr>
            </w:pPr>
            <w:r>
              <w:rPr>
                <w:rFonts w:cs="Times New Roman"/>
                <w:sz w:val="18"/>
                <w:szCs w:val="18"/>
              </w:rPr>
              <w:t>质量损失</w:t>
            </w:r>
          </w:p>
          <w:p>
            <w:pPr>
              <w:ind w:firstLine="0" w:firstLineChars="0"/>
              <w:jc w:val="center"/>
              <w:rPr>
                <w:rFonts w:cs="Times New Roman"/>
                <w:sz w:val="18"/>
                <w:szCs w:val="18"/>
              </w:rPr>
            </w:pPr>
            <w:r>
              <w:rPr>
                <w:rFonts w:cs="Times New Roman"/>
                <w:sz w:val="18"/>
                <w:szCs w:val="18"/>
              </w:rPr>
              <w:t>/(g/m</w:t>
            </w:r>
            <w:r>
              <w:rPr>
                <w:rFonts w:cs="Times New Roman"/>
                <w:sz w:val="18"/>
                <w:szCs w:val="18"/>
                <w:vertAlign w:val="superscript"/>
              </w:rPr>
              <w:t>2</w:t>
            </w:r>
            <w:r>
              <w:rPr>
                <w:rFonts w:cs="Times New Roman"/>
                <w:sz w:val="18"/>
                <w:szCs w:val="18"/>
              </w:rPr>
              <w:t>)</w:t>
            </w:r>
          </w:p>
        </w:tc>
        <w:tc>
          <w:tcPr>
            <w:tcW w:w="1021" w:type="dxa"/>
            <w:vAlign w:val="center"/>
          </w:tcPr>
          <w:p>
            <w:pPr>
              <w:ind w:firstLine="0" w:firstLineChars="0"/>
              <w:jc w:val="center"/>
              <w:rPr>
                <w:rFonts w:cs="Times New Roman"/>
                <w:sz w:val="18"/>
                <w:szCs w:val="18"/>
              </w:rPr>
            </w:pPr>
            <w:r>
              <w:rPr>
                <w:rFonts w:cs="Times New Roman"/>
                <w:sz w:val="18"/>
                <w:szCs w:val="18"/>
              </w:rPr>
              <w:t>厚度损失</w:t>
            </w:r>
          </w:p>
          <w:p>
            <w:pPr>
              <w:ind w:firstLine="0" w:firstLineChars="0"/>
              <w:jc w:val="center"/>
              <w:rPr>
                <w:rFonts w:cs="Times New Roman"/>
                <w:sz w:val="18"/>
                <w:szCs w:val="18"/>
              </w:rPr>
            </w:pPr>
            <w:r>
              <w:rPr>
                <w:rFonts w:cs="Times New Roman"/>
                <w:sz w:val="18"/>
                <w:szCs w:val="18"/>
              </w:rPr>
              <w:t>/um</w:t>
            </w:r>
          </w:p>
        </w:tc>
        <w:tc>
          <w:tcPr>
            <w:tcW w:w="1021" w:type="dxa"/>
            <w:vAlign w:val="center"/>
          </w:tcPr>
          <w:p>
            <w:pPr>
              <w:ind w:firstLine="0" w:firstLineChars="0"/>
              <w:jc w:val="center"/>
              <w:rPr>
                <w:rFonts w:cs="Times New Roman"/>
                <w:sz w:val="18"/>
                <w:szCs w:val="18"/>
              </w:rPr>
            </w:pPr>
            <w:r>
              <w:rPr>
                <w:rFonts w:cs="Times New Roman"/>
                <w:sz w:val="18"/>
                <w:szCs w:val="18"/>
              </w:rPr>
              <w:t>质量损失</w:t>
            </w:r>
          </w:p>
          <w:p>
            <w:pPr>
              <w:ind w:firstLine="0" w:firstLineChars="0"/>
              <w:jc w:val="center"/>
              <w:rPr>
                <w:rFonts w:cs="Times New Roman"/>
                <w:sz w:val="18"/>
                <w:szCs w:val="18"/>
              </w:rPr>
            </w:pPr>
            <w:r>
              <w:rPr>
                <w:rFonts w:cs="Times New Roman"/>
                <w:sz w:val="18"/>
                <w:szCs w:val="18"/>
              </w:rPr>
              <w:t>/(g/m</w:t>
            </w:r>
            <w:r>
              <w:rPr>
                <w:rFonts w:cs="Times New Roman"/>
                <w:sz w:val="18"/>
                <w:szCs w:val="18"/>
                <w:vertAlign w:val="superscript"/>
              </w:rPr>
              <w:t>2)</w:t>
            </w:r>
          </w:p>
        </w:tc>
        <w:tc>
          <w:tcPr>
            <w:tcW w:w="1021" w:type="dxa"/>
            <w:vAlign w:val="center"/>
          </w:tcPr>
          <w:p>
            <w:pPr>
              <w:ind w:firstLine="0" w:firstLineChars="0"/>
              <w:jc w:val="center"/>
              <w:rPr>
                <w:rFonts w:cs="Times New Roman"/>
                <w:sz w:val="18"/>
                <w:szCs w:val="18"/>
              </w:rPr>
            </w:pPr>
            <w:r>
              <w:rPr>
                <w:rFonts w:cs="Times New Roman"/>
                <w:sz w:val="18"/>
                <w:szCs w:val="18"/>
              </w:rPr>
              <w:t>厚度损失</w:t>
            </w:r>
          </w:p>
          <w:p>
            <w:pPr>
              <w:ind w:firstLine="0" w:firstLineChars="0"/>
              <w:jc w:val="center"/>
              <w:rPr>
                <w:rFonts w:cs="Times New Roman"/>
                <w:sz w:val="18"/>
                <w:szCs w:val="18"/>
              </w:rPr>
            </w:pPr>
            <w:r>
              <w:rPr>
                <w:rFonts w:cs="Times New Roman"/>
                <w:sz w:val="18"/>
                <w:szCs w:val="18"/>
              </w:rPr>
              <w:t>/um</w:t>
            </w:r>
          </w:p>
        </w:tc>
        <w:tc>
          <w:tcPr>
            <w:tcW w:w="1889" w:type="dxa"/>
            <w:vMerge w:val="continue"/>
            <w:vAlign w:val="center"/>
          </w:tcPr>
          <w:p>
            <w:pPr>
              <w:ind w:firstLine="0" w:firstLineChars="0"/>
              <w:jc w:val="center"/>
              <w:rPr>
                <w:rFonts w:cs="Times New Roman"/>
                <w:sz w:val="18"/>
                <w:szCs w:val="18"/>
              </w:rPr>
            </w:pPr>
          </w:p>
        </w:tc>
        <w:tc>
          <w:tcPr>
            <w:tcW w:w="2081" w:type="dxa"/>
            <w:vMerge w:val="continue"/>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Align w:val="center"/>
          </w:tcPr>
          <w:p>
            <w:pPr>
              <w:ind w:firstLine="0" w:firstLineChars="0"/>
              <w:jc w:val="center"/>
              <w:rPr>
                <w:rFonts w:cs="Times New Roman"/>
                <w:sz w:val="18"/>
                <w:szCs w:val="18"/>
              </w:rPr>
            </w:pPr>
            <w:r>
              <w:rPr>
                <w:rFonts w:cs="Times New Roman"/>
                <w:sz w:val="18"/>
                <w:szCs w:val="18"/>
              </w:rPr>
              <w:t>C1</w:t>
            </w:r>
          </w:p>
          <w:p>
            <w:pPr>
              <w:ind w:firstLine="0" w:firstLineChars="0"/>
              <w:jc w:val="center"/>
              <w:rPr>
                <w:rFonts w:cs="Times New Roman"/>
                <w:sz w:val="18"/>
                <w:szCs w:val="18"/>
              </w:rPr>
            </w:pPr>
            <w:r>
              <w:rPr>
                <w:rFonts w:cs="Times New Roman"/>
                <w:sz w:val="18"/>
                <w:szCs w:val="18"/>
              </w:rPr>
              <w:t>很低</w:t>
            </w:r>
          </w:p>
        </w:tc>
        <w:tc>
          <w:tcPr>
            <w:tcW w:w="1021" w:type="dxa"/>
            <w:vAlign w:val="center"/>
          </w:tcPr>
          <w:p>
            <w:pPr>
              <w:ind w:firstLine="0" w:firstLineChars="0"/>
              <w:jc w:val="center"/>
              <w:rPr>
                <w:rFonts w:cs="Times New Roman"/>
                <w:sz w:val="18"/>
                <w:szCs w:val="18"/>
              </w:rPr>
            </w:pPr>
            <w:r>
              <w:rPr>
                <w:rFonts w:cs="Times New Roman"/>
                <w:sz w:val="18"/>
                <w:szCs w:val="18"/>
              </w:rPr>
              <w:t>≤10</w:t>
            </w:r>
          </w:p>
        </w:tc>
        <w:tc>
          <w:tcPr>
            <w:tcW w:w="1021" w:type="dxa"/>
            <w:vAlign w:val="center"/>
          </w:tcPr>
          <w:p>
            <w:pPr>
              <w:ind w:firstLine="0" w:firstLineChars="0"/>
              <w:jc w:val="center"/>
              <w:rPr>
                <w:rFonts w:cs="Times New Roman"/>
                <w:sz w:val="18"/>
                <w:szCs w:val="18"/>
              </w:rPr>
            </w:pPr>
            <w:r>
              <w:rPr>
                <w:rFonts w:cs="Times New Roman"/>
                <w:sz w:val="18"/>
                <w:szCs w:val="18"/>
              </w:rPr>
              <w:t>≤1.3</w:t>
            </w:r>
          </w:p>
        </w:tc>
        <w:tc>
          <w:tcPr>
            <w:tcW w:w="1021" w:type="dxa"/>
            <w:vAlign w:val="center"/>
          </w:tcPr>
          <w:p>
            <w:pPr>
              <w:ind w:firstLine="0" w:firstLineChars="0"/>
              <w:jc w:val="center"/>
              <w:rPr>
                <w:rFonts w:cs="Times New Roman"/>
                <w:sz w:val="18"/>
                <w:szCs w:val="18"/>
              </w:rPr>
            </w:pPr>
            <w:r>
              <w:rPr>
                <w:rFonts w:cs="Times New Roman"/>
                <w:sz w:val="18"/>
                <w:szCs w:val="18"/>
              </w:rPr>
              <w:t>≤0.7</w:t>
            </w:r>
          </w:p>
        </w:tc>
        <w:tc>
          <w:tcPr>
            <w:tcW w:w="1021" w:type="dxa"/>
            <w:vAlign w:val="center"/>
          </w:tcPr>
          <w:p>
            <w:pPr>
              <w:ind w:firstLine="0" w:firstLineChars="0"/>
              <w:jc w:val="center"/>
              <w:rPr>
                <w:rFonts w:cs="Times New Roman"/>
                <w:sz w:val="18"/>
                <w:szCs w:val="18"/>
              </w:rPr>
            </w:pPr>
            <w:r>
              <w:rPr>
                <w:rFonts w:cs="Times New Roman"/>
                <w:sz w:val="18"/>
                <w:szCs w:val="18"/>
              </w:rPr>
              <w:t>≤0.1</w:t>
            </w:r>
          </w:p>
        </w:tc>
        <w:tc>
          <w:tcPr>
            <w:tcW w:w="1889" w:type="dxa"/>
            <w:vAlign w:val="center"/>
          </w:tcPr>
          <w:p>
            <w:pPr>
              <w:ind w:firstLine="0" w:firstLineChars="0"/>
              <w:jc w:val="center"/>
              <w:rPr>
                <w:rFonts w:cs="Times New Roman"/>
                <w:sz w:val="18"/>
                <w:szCs w:val="18"/>
              </w:rPr>
            </w:pPr>
          </w:p>
        </w:tc>
        <w:tc>
          <w:tcPr>
            <w:tcW w:w="2081" w:type="dxa"/>
            <w:vAlign w:val="center"/>
          </w:tcPr>
          <w:p>
            <w:pPr>
              <w:ind w:firstLine="0" w:firstLineChars="0"/>
              <w:jc w:val="center"/>
              <w:rPr>
                <w:rFonts w:cs="Times New Roman"/>
                <w:sz w:val="18"/>
                <w:szCs w:val="18"/>
              </w:rPr>
            </w:pPr>
            <w:r>
              <w:rPr>
                <w:rFonts w:cs="Times New Roman"/>
                <w:sz w:val="18"/>
                <w:szCs w:val="18"/>
              </w:rPr>
              <w:t>加热的建筑物内部，空气洁净，如办公室、商店、学校和宾馆等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ind w:firstLine="0" w:firstLineChars="0"/>
              <w:jc w:val="center"/>
              <w:rPr>
                <w:rFonts w:cs="Times New Roman"/>
                <w:sz w:val="18"/>
                <w:szCs w:val="18"/>
              </w:rPr>
            </w:pPr>
            <w:r>
              <w:rPr>
                <w:rFonts w:cs="Times New Roman"/>
                <w:sz w:val="18"/>
                <w:szCs w:val="18"/>
              </w:rPr>
              <w:t>C2</w:t>
            </w:r>
          </w:p>
          <w:p>
            <w:pPr>
              <w:ind w:firstLine="0" w:firstLineChars="0"/>
              <w:jc w:val="center"/>
              <w:rPr>
                <w:rFonts w:cs="Times New Roman"/>
                <w:sz w:val="18"/>
                <w:szCs w:val="18"/>
              </w:rPr>
            </w:pPr>
            <w:r>
              <w:rPr>
                <w:rFonts w:cs="Times New Roman"/>
                <w:sz w:val="18"/>
                <w:szCs w:val="18"/>
              </w:rPr>
              <w:t>低</w:t>
            </w:r>
          </w:p>
        </w:tc>
        <w:tc>
          <w:tcPr>
            <w:tcW w:w="1021" w:type="dxa"/>
            <w:vAlign w:val="center"/>
          </w:tcPr>
          <w:p>
            <w:pPr>
              <w:ind w:firstLine="0" w:firstLineChars="0"/>
              <w:jc w:val="center"/>
              <w:rPr>
                <w:rFonts w:cs="Times New Roman"/>
                <w:sz w:val="18"/>
                <w:szCs w:val="18"/>
              </w:rPr>
            </w:pPr>
            <w:r>
              <w:rPr>
                <w:rFonts w:cs="Times New Roman"/>
                <w:sz w:val="18"/>
                <w:szCs w:val="18"/>
              </w:rPr>
              <w:t>10~200</w:t>
            </w:r>
          </w:p>
        </w:tc>
        <w:tc>
          <w:tcPr>
            <w:tcW w:w="1021" w:type="dxa"/>
            <w:vAlign w:val="center"/>
          </w:tcPr>
          <w:p>
            <w:pPr>
              <w:ind w:firstLine="0" w:firstLineChars="0"/>
              <w:jc w:val="center"/>
              <w:rPr>
                <w:rFonts w:cs="Times New Roman"/>
                <w:sz w:val="18"/>
                <w:szCs w:val="18"/>
              </w:rPr>
            </w:pPr>
            <w:r>
              <w:rPr>
                <w:rFonts w:cs="Times New Roman"/>
                <w:sz w:val="18"/>
                <w:szCs w:val="18"/>
              </w:rPr>
              <w:t>1.3~25</w:t>
            </w:r>
          </w:p>
        </w:tc>
        <w:tc>
          <w:tcPr>
            <w:tcW w:w="1021" w:type="dxa"/>
            <w:vAlign w:val="center"/>
          </w:tcPr>
          <w:p>
            <w:pPr>
              <w:ind w:firstLine="0" w:firstLineChars="0"/>
              <w:jc w:val="center"/>
              <w:rPr>
                <w:rFonts w:cs="Times New Roman"/>
                <w:sz w:val="18"/>
                <w:szCs w:val="18"/>
              </w:rPr>
            </w:pPr>
            <w:r>
              <w:rPr>
                <w:rFonts w:cs="Times New Roman"/>
                <w:sz w:val="18"/>
                <w:szCs w:val="18"/>
              </w:rPr>
              <w:t>0.7~5</w:t>
            </w:r>
          </w:p>
        </w:tc>
        <w:tc>
          <w:tcPr>
            <w:tcW w:w="1021" w:type="dxa"/>
            <w:vAlign w:val="center"/>
          </w:tcPr>
          <w:p>
            <w:pPr>
              <w:ind w:firstLine="0" w:firstLineChars="0"/>
              <w:jc w:val="center"/>
              <w:rPr>
                <w:rFonts w:cs="Times New Roman"/>
                <w:sz w:val="18"/>
                <w:szCs w:val="18"/>
              </w:rPr>
            </w:pPr>
            <w:r>
              <w:rPr>
                <w:rFonts w:cs="Times New Roman"/>
                <w:sz w:val="18"/>
                <w:szCs w:val="18"/>
              </w:rPr>
              <w:t>0.1~0.7</w:t>
            </w:r>
          </w:p>
        </w:tc>
        <w:tc>
          <w:tcPr>
            <w:tcW w:w="1889" w:type="dxa"/>
            <w:vAlign w:val="center"/>
          </w:tcPr>
          <w:p>
            <w:pPr>
              <w:ind w:firstLine="0" w:firstLineChars="0"/>
              <w:jc w:val="center"/>
              <w:rPr>
                <w:rFonts w:cs="Times New Roman"/>
                <w:sz w:val="18"/>
                <w:szCs w:val="18"/>
              </w:rPr>
            </w:pPr>
            <w:r>
              <w:rPr>
                <w:rFonts w:cs="Times New Roman"/>
                <w:sz w:val="18"/>
                <w:szCs w:val="18"/>
              </w:rPr>
              <w:t>大气污染较低，如低污染的乡村地区</w:t>
            </w:r>
          </w:p>
        </w:tc>
        <w:tc>
          <w:tcPr>
            <w:tcW w:w="2081" w:type="dxa"/>
            <w:vAlign w:val="center"/>
          </w:tcPr>
          <w:p>
            <w:pPr>
              <w:ind w:firstLine="0" w:firstLineChars="0"/>
              <w:jc w:val="center"/>
              <w:rPr>
                <w:rFonts w:cs="Times New Roman"/>
                <w:sz w:val="18"/>
                <w:szCs w:val="18"/>
              </w:rPr>
            </w:pPr>
            <w:r>
              <w:rPr>
                <w:rFonts w:cs="Times New Roman"/>
                <w:sz w:val="18"/>
                <w:szCs w:val="18"/>
              </w:rPr>
              <w:t>未加热的建筑物内部，冷凝有可能发生，如库房、体育馆等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ind w:firstLine="0" w:firstLineChars="0"/>
              <w:jc w:val="center"/>
              <w:rPr>
                <w:rFonts w:cs="Times New Roman"/>
                <w:sz w:val="18"/>
                <w:szCs w:val="18"/>
              </w:rPr>
            </w:pPr>
            <w:r>
              <w:rPr>
                <w:rFonts w:cs="Times New Roman"/>
                <w:sz w:val="18"/>
                <w:szCs w:val="18"/>
              </w:rPr>
              <w:t>C3</w:t>
            </w:r>
          </w:p>
          <w:p>
            <w:pPr>
              <w:ind w:firstLine="0" w:firstLineChars="0"/>
              <w:jc w:val="center"/>
              <w:rPr>
                <w:rFonts w:cs="Times New Roman"/>
                <w:sz w:val="18"/>
                <w:szCs w:val="18"/>
              </w:rPr>
            </w:pPr>
            <w:r>
              <w:rPr>
                <w:rFonts w:cs="Times New Roman"/>
                <w:sz w:val="18"/>
                <w:szCs w:val="18"/>
              </w:rPr>
              <w:t>中</w:t>
            </w:r>
          </w:p>
        </w:tc>
        <w:tc>
          <w:tcPr>
            <w:tcW w:w="1021" w:type="dxa"/>
            <w:vAlign w:val="center"/>
          </w:tcPr>
          <w:p>
            <w:pPr>
              <w:ind w:firstLine="0" w:firstLineChars="0"/>
              <w:jc w:val="center"/>
              <w:rPr>
                <w:rFonts w:cs="Times New Roman"/>
                <w:sz w:val="18"/>
                <w:szCs w:val="18"/>
              </w:rPr>
            </w:pPr>
            <w:r>
              <w:rPr>
                <w:rFonts w:cs="Times New Roman"/>
                <w:sz w:val="18"/>
                <w:szCs w:val="18"/>
              </w:rPr>
              <w:t>200~400</w:t>
            </w:r>
          </w:p>
        </w:tc>
        <w:tc>
          <w:tcPr>
            <w:tcW w:w="1021" w:type="dxa"/>
            <w:vAlign w:val="center"/>
          </w:tcPr>
          <w:p>
            <w:pPr>
              <w:ind w:firstLine="0" w:firstLineChars="0"/>
              <w:jc w:val="center"/>
              <w:rPr>
                <w:rFonts w:cs="Times New Roman"/>
                <w:sz w:val="18"/>
                <w:szCs w:val="18"/>
              </w:rPr>
            </w:pPr>
            <w:r>
              <w:rPr>
                <w:rFonts w:cs="Times New Roman"/>
                <w:sz w:val="18"/>
                <w:szCs w:val="18"/>
              </w:rPr>
              <w:t>25~50</w:t>
            </w:r>
          </w:p>
        </w:tc>
        <w:tc>
          <w:tcPr>
            <w:tcW w:w="1021" w:type="dxa"/>
            <w:vAlign w:val="center"/>
          </w:tcPr>
          <w:p>
            <w:pPr>
              <w:ind w:firstLine="0" w:firstLineChars="0"/>
              <w:jc w:val="center"/>
              <w:rPr>
                <w:rFonts w:cs="Times New Roman"/>
                <w:sz w:val="18"/>
                <w:szCs w:val="18"/>
              </w:rPr>
            </w:pPr>
            <w:r>
              <w:rPr>
                <w:rFonts w:cs="Times New Roman"/>
                <w:sz w:val="18"/>
                <w:szCs w:val="18"/>
              </w:rPr>
              <w:t>5~15</w:t>
            </w:r>
          </w:p>
        </w:tc>
        <w:tc>
          <w:tcPr>
            <w:tcW w:w="1021" w:type="dxa"/>
            <w:vAlign w:val="center"/>
          </w:tcPr>
          <w:p>
            <w:pPr>
              <w:ind w:firstLine="0" w:firstLineChars="0"/>
              <w:jc w:val="center"/>
              <w:rPr>
                <w:rFonts w:cs="Times New Roman"/>
                <w:sz w:val="18"/>
                <w:szCs w:val="18"/>
              </w:rPr>
            </w:pPr>
            <w:r>
              <w:rPr>
                <w:rFonts w:cs="Times New Roman"/>
                <w:sz w:val="18"/>
                <w:szCs w:val="18"/>
              </w:rPr>
              <w:t>0.7~2.1</w:t>
            </w:r>
          </w:p>
        </w:tc>
        <w:tc>
          <w:tcPr>
            <w:tcW w:w="1889" w:type="dxa"/>
            <w:vAlign w:val="center"/>
          </w:tcPr>
          <w:p>
            <w:pPr>
              <w:ind w:firstLine="0" w:firstLineChars="0"/>
              <w:jc w:val="center"/>
              <w:rPr>
                <w:rFonts w:cs="Times New Roman"/>
                <w:sz w:val="18"/>
                <w:szCs w:val="18"/>
              </w:rPr>
            </w:pPr>
            <w:r>
              <w:rPr>
                <w:rFonts w:cs="Times New Roman"/>
                <w:sz w:val="18"/>
                <w:szCs w:val="18"/>
              </w:rPr>
              <w:t>城市和工业大气，中等的二氧化硫污染，低盐度沿海区域</w:t>
            </w:r>
          </w:p>
        </w:tc>
        <w:tc>
          <w:tcPr>
            <w:tcW w:w="2081" w:type="dxa"/>
            <w:vAlign w:val="center"/>
          </w:tcPr>
          <w:p>
            <w:pPr>
              <w:ind w:firstLine="0" w:firstLineChars="0"/>
              <w:jc w:val="center"/>
              <w:rPr>
                <w:rFonts w:cs="Times New Roman"/>
                <w:sz w:val="18"/>
                <w:szCs w:val="18"/>
              </w:rPr>
            </w:pPr>
            <w:r>
              <w:rPr>
                <w:rFonts w:cs="Times New Roman"/>
                <w:sz w:val="18"/>
                <w:szCs w:val="18"/>
              </w:rPr>
              <w:t>高湿度和有些污染生产场所，如食品加工厂、洗衣场、酒厂、牛奶厂等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jc w:val="center"/>
        </w:trPr>
        <w:tc>
          <w:tcPr>
            <w:tcW w:w="737" w:type="dxa"/>
            <w:vAlign w:val="center"/>
          </w:tcPr>
          <w:p>
            <w:pPr>
              <w:ind w:firstLine="0" w:firstLineChars="0"/>
              <w:jc w:val="center"/>
              <w:rPr>
                <w:rFonts w:cs="Times New Roman"/>
                <w:sz w:val="18"/>
                <w:szCs w:val="18"/>
              </w:rPr>
            </w:pPr>
            <w:r>
              <w:rPr>
                <w:rFonts w:cs="Times New Roman"/>
                <w:sz w:val="18"/>
                <w:szCs w:val="18"/>
              </w:rPr>
              <w:t>C4</w:t>
            </w:r>
          </w:p>
          <w:p>
            <w:pPr>
              <w:ind w:firstLine="0" w:firstLineChars="0"/>
              <w:jc w:val="center"/>
              <w:rPr>
                <w:rFonts w:cs="Times New Roman"/>
                <w:sz w:val="18"/>
                <w:szCs w:val="18"/>
              </w:rPr>
            </w:pPr>
            <w:r>
              <w:rPr>
                <w:rFonts w:cs="Times New Roman"/>
                <w:sz w:val="18"/>
                <w:szCs w:val="18"/>
              </w:rPr>
              <w:t>高</w:t>
            </w:r>
          </w:p>
        </w:tc>
        <w:tc>
          <w:tcPr>
            <w:tcW w:w="1021" w:type="dxa"/>
            <w:vAlign w:val="center"/>
          </w:tcPr>
          <w:p>
            <w:pPr>
              <w:ind w:firstLine="0" w:firstLineChars="0"/>
              <w:jc w:val="center"/>
              <w:rPr>
                <w:rFonts w:cs="Times New Roman"/>
                <w:sz w:val="18"/>
                <w:szCs w:val="18"/>
              </w:rPr>
            </w:pPr>
            <w:r>
              <w:rPr>
                <w:rFonts w:cs="Times New Roman"/>
                <w:sz w:val="18"/>
                <w:szCs w:val="18"/>
              </w:rPr>
              <w:t>400~650</w:t>
            </w:r>
          </w:p>
        </w:tc>
        <w:tc>
          <w:tcPr>
            <w:tcW w:w="1021" w:type="dxa"/>
            <w:vAlign w:val="center"/>
          </w:tcPr>
          <w:p>
            <w:pPr>
              <w:ind w:firstLine="0" w:firstLineChars="0"/>
              <w:jc w:val="center"/>
              <w:rPr>
                <w:rFonts w:cs="Times New Roman"/>
                <w:sz w:val="18"/>
                <w:szCs w:val="18"/>
              </w:rPr>
            </w:pPr>
            <w:r>
              <w:rPr>
                <w:rFonts w:cs="Times New Roman"/>
                <w:sz w:val="18"/>
                <w:szCs w:val="18"/>
              </w:rPr>
              <w:t>50~80</w:t>
            </w:r>
          </w:p>
        </w:tc>
        <w:tc>
          <w:tcPr>
            <w:tcW w:w="1021" w:type="dxa"/>
            <w:vAlign w:val="center"/>
          </w:tcPr>
          <w:p>
            <w:pPr>
              <w:ind w:firstLine="0" w:firstLineChars="0"/>
              <w:jc w:val="center"/>
              <w:rPr>
                <w:rFonts w:cs="Times New Roman"/>
                <w:sz w:val="18"/>
                <w:szCs w:val="18"/>
              </w:rPr>
            </w:pPr>
            <w:r>
              <w:rPr>
                <w:rFonts w:cs="Times New Roman"/>
                <w:sz w:val="18"/>
                <w:szCs w:val="18"/>
              </w:rPr>
              <w:t>15~30</w:t>
            </w:r>
          </w:p>
        </w:tc>
        <w:tc>
          <w:tcPr>
            <w:tcW w:w="1021" w:type="dxa"/>
            <w:vAlign w:val="center"/>
          </w:tcPr>
          <w:p>
            <w:pPr>
              <w:ind w:firstLine="0" w:firstLineChars="0"/>
              <w:jc w:val="center"/>
              <w:rPr>
                <w:rFonts w:cs="Times New Roman"/>
                <w:sz w:val="18"/>
                <w:szCs w:val="18"/>
              </w:rPr>
            </w:pPr>
            <w:r>
              <w:rPr>
                <w:rFonts w:cs="Times New Roman"/>
                <w:sz w:val="18"/>
                <w:szCs w:val="18"/>
              </w:rPr>
              <w:t>2.1~4.2</w:t>
            </w:r>
          </w:p>
        </w:tc>
        <w:tc>
          <w:tcPr>
            <w:tcW w:w="1889" w:type="dxa"/>
            <w:vAlign w:val="center"/>
          </w:tcPr>
          <w:p>
            <w:pPr>
              <w:ind w:firstLine="0" w:firstLineChars="0"/>
              <w:jc w:val="center"/>
              <w:rPr>
                <w:rFonts w:cs="Times New Roman"/>
                <w:sz w:val="18"/>
                <w:szCs w:val="18"/>
              </w:rPr>
            </w:pPr>
            <w:r>
              <w:rPr>
                <w:rFonts w:cs="Times New Roman"/>
                <w:sz w:val="18"/>
                <w:szCs w:val="18"/>
              </w:rPr>
              <w:t>高盐度的工业区和沿海区域</w:t>
            </w:r>
          </w:p>
        </w:tc>
        <w:tc>
          <w:tcPr>
            <w:tcW w:w="2081" w:type="dxa"/>
            <w:vAlign w:val="center"/>
          </w:tcPr>
          <w:p>
            <w:pPr>
              <w:ind w:firstLine="0" w:firstLineChars="0"/>
              <w:jc w:val="center"/>
              <w:rPr>
                <w:rFonts w:cs="Times New Roman"/>
                <w:sz w:val="18"/>
                <w:szCs w:val="18"/>
              </w:rPr>
            </w:pPr>
            <w:r>
              <w:rPr>
                <w:rFonts w:cs="Times New Roman"/>
                <w:sz w:val="18"/>
                <w:szCs w:val="18"/>
              </w:rPr>
              <w:t>化工厂、游泳池、海船内部和船厂等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Align w:val="center"/>
          </w:tcPr>
          <w:p>
            <w:pPr>
              <w:ind w:firstLine="0" w:firstLineChars="0"/>
              <w:jc w:val="center"/>
              <w:rPr>
                <w:rFonts w:cs="Times New Roman"/>
                <w:sz w:val="18"/>
                <w:szCs w:val="18"/>
              </w:rPr>
            </w:pPr>
            <w:r>
              <w:rPr>
                <w:rFonts w:cs="Times New Roman"/>
                <w:sz w:val="18"/>
                <w:szCs w:val="18"/>
              </w:rPr>
              <w:t>C5</w:t>
            </w:r>
          </w:p>
          <w:p>
            <w:pPr>
              <w:ind w:firstLine="0" w:firstLineChars="0"/>
              <w:jc w:val="center"/>
              <w:rPr>
                <w:rFonts w:cs="Times New Roman"/>
                <w:sz w:val="18"/>
                <w:szCs w:val="18"/>
              </w:rPr>
            </w:pPr>
            <w:r>
              <w:rPr>
                <w:rFonts w:cs="Times New Roman"/>
                <w:sz w:val="18"/>
                <w:szCs w:val="18"/>
              </w:rPr>
              <w:t>很高</w:t>
            </w:r>
          </w:p>
        </w:tc>
        <w:tc>
          <w:tcPr>
            <w:tcW w:w="1021" w:type="dxa"/>
            <w:vAlign w:val="center"/>
          </w:tcPr>
          <w:p>
            <w:pPr>
              <w:ind w:firstLine="0" w:firstLineChars="0"/>
              <w:jc w:val="center"/>
              <w:rPr>
                <w:rFonts w:cs="Times New Roman"/>
                <w:sz w:val="18"/>
                <w:szCs w:val="18"/>
              </w:rPr>
            </w:pPr>
            <w:r>
              <w:rPr>
                <w:rFonts w:cs="Times New Roman"/>
                <w:sz w:val="18"/>
                <w:szCs w:val="18"/>
              </w:rPr>
              <w:t>650~1500</w:t>
            </w:r>
          </w:p>
        </w:tc>
        <w:tc>
          <w:tcPr>
            <w:tcW w:w="1021" w:type="dxa"/>
            <w:vAlign w:val="center"/>
          </w:tcPr>
          <w:p>
            <w:pPr>
              <w:ind w:firstLine="0" w:firstLineChars="0"/>
              <w:jc w:val="center"/>
              <w:rPr>
                <w:rFonts w:cs="Times New Roman"/>
                <w:sz w:val="18"/>
                <w:szCs w:val="18"/>
              </w:rPr>
            </w:pPr>
            <w:r>
              <w:rPr>
                <w:rFonts w:cs="Times New Roman"/>
                <w:sz w:val="18"/>
                <w:szCs w:val="18"/>
              </w:rPr>
              <w:t>80~200</w:t>
            </w:r>
          </w:p>
        </w:tc>
        <w:tc>
          <w:tcPr>
            <w:tcW w:w="1021" w:type="dxa"/>
            <w:vAlign w:val="center"/>
          </w:tcPr>
          <w:p>
            <w:pPr>
              <w:ind w:firstLine="0" w:firstLineChars="0"/>
              <w:jc w:val="center"/>
              <w:rPr>
                <w:rFonts w:cs="Times New Roman"/>
                <w:sz w:val="18"/>
                <w:szCs w:val="18"/>
              </w:rPr>
            </w:pPr>
            <w:r>
              <w:rPr>
                <w:rFonts w:cs="Times New Roman"/>
                <w:sz w:val="18"/>
                <w:szCs w:val="18"/>
              </w:rPr>
              <w:t>30~60</w:t>
            </w:r>
          </w:p>
        </w:tc>
        <w:tc>
          <w:tcPr>
            <w:tcW w:w="1021" w:type="dxa"/>
            <w:vAlign w:val="center"/>
          </w:tcPr>
          <w:p>
            <w:pPr>
              <w:ind w:firstLine="0" w:firstLineChars="0"/>
              <w:jc w:val="center"/>
              <w:rPr>
                <w:rFonts w:cs="Times New Roman"/>
                <w:sz w:val="18"/>
                <w:szCs w:val="18"/>
              </w:rPr>
            </w:pPr>
            <w:r>
              <w:rPr>
                <w:rFonts w:cs="Times New Roman"/>
                <w:sz w:val="18"/>
                <w:szCs w:val="18"/>
              </w:rPr>
              <w:t>4.2~8.4</w:t>
            </w:r>
          </w:p>
        </w:tc>
        <w:tc>
          <w:tcPr>
            <w:tcW w:w="1889" w:type="dxa"/>
            <w:vAlign w:val="center"/>
          </w:tcPr>
          <w:p>
            <w:pPr>
              <w:ind w:firstLine="0" w:firstLineChars="0"/>
              <w:jc w:val="center"/>
              <w:rPr>
                <w:rFonts w:cs="Times New Roman"/>
                <w:sz w:val="18"/>
                <w:szCs w:val="18"/>
              </w:rPr>
            </w:pPr>
            <w:r>
              <w:rPr>
                <w:rFonts w:cs="Times New Roman"/>
                <w:sz w:val="18"/>
                <w:szCs w:val="18"/>
              </w:rPr>
              <w:t>高盐度和恶劣大气的工业区域，高盐度的沿海和离岸地带</w:t>
            </w:r>
          </w:p>
        </w:tc>
        <w:tc>
          <w:tcPr>
            <w:tcW w:w="2081" w:type="dxa"/>
            <w:vAlign w:val="center"/>
          </w:tcPr>
          <w:p>
            <w:pPr>
              <w:ind w:firstLine="0" w:firstLineChars="0"/>
              <w:jc w:val="center"/>
              <w:rPr>
                <w:rFonts w:cs="Times New Roman"/>
                <w:sz w:val="18"/>
                <w:szCs w:val="18"/>
              </w:rPr>
            </w:pPr>
            <w:r>
              <w:rPr>
                <w:rFonts w:cs="Times New Roman"/>
                <w:sz w:val="18"/>
                <w:szCs w:val="18"/>
              </w:rPr>
              <w:t>总是有冷凝水、高湿度、高污染的建筑物或其它地方</w:t>
            </w:r>
          </w:p>
        </w:tc>
      </w:tr>
    </w:tbl>
    <w:p>
      <w:pPr>
        <w:pStyle w:val="4"/>
        <w:numPr>
          <w:ilvl w:val="0"/>
          <w:numId w:val="0"/>
        </w:numPr>
        <w:ind w:right="210"/>
      </w:pPr>
      <w:r>
        <w:rPr>
          <w:rFonts w:ascii="黑体" w:hAnsi="黑体" w:eastAsia="黑体"/>
        </w:rPr>
        <w:t>C.2</w:t>
      </w:r>
      <w:r>
        <w:rPr>
          <w:rFonts w:hint="eastAsia"/>
        </w:rPr>
        <w:t>　</w:t>
      </w:r>
      <w:r>
        <w:rPr>
          <w:b/>
        </w:rPr>
        <w:t>钢结构防腐蚀设计寿命划分为2~5年、5~10 年、10~15年和大于15年4种情况。</w:t>
      </w:r>
    </w:p>
    <w:p>
      <w:pPr>
        <w:pStyle w:val="4"/>
        <w:numPr>
          <w:ilvl w:val="0"/>
          <w:numId w:val="0"/>
        </w:numPr>
        <w:ind w:right="210"/>
      </w:pPr>
      <w:r>
        <w:rPr>
          <w:rFonts w:ascii="黑体" w:hAnsi="黑体" w:eastAsia="黑体"/>
        </w:rPr>
        <w:t>C.3</w:t>
      </w:r>
      <w:r>
        <w:rPr>
          <w:rFonts w:hint="eastAsia"/>
        </w:rPr>
        <w:t>　</w:t>
      </w:r>
      <w:r>
        <w:rPr>
          <w:b/>
        </w:rPr>
        <w:t>钢材表面原始锈蚀等级和钢材除锈等级标准应符合《涂装前钢材表面锈蚀等级和除锈等级》GB/T 8923的规定。</w:t>
      </w:r>
      <w:r>
        <w:t xml:space="preserve"> </w:t>
      </w:r>
    </w:p>
    <w:p>
      <w:pPr>
        <w:pStyle w:val="4"/>
        <w:numPr>
          <w:ilvl w:val="0"/>
          <w:numId w:val="0"/>
        </w:numPr>
        <w:ind w:right="210"/>
        <w:rPr>
          <w:rFonts w:ascii="黑体" w:hAnsi="黑体" w:eastAsia="黑体"/>
        </w:rPr>
      </w:pPr>
      <w:r>
        <w:rPr>
          <w:rFonts w:ascii="黑体" w:hAnsi="黑体" w:eastAsia="黑体"/>
        </w:rPr>
        <w:t>C.3.1</w:t>
      </w:r>
      <w:r>
        <w:rPr>
          <w:rFonts w:hint="eastAsia"/>
        </w:rPr>
        <w:t>　</w:t>
      </w:r>
      <w:r>
        <w:rPr>
          <w:rFonts w:hint="eastAsia" w:ascii="宋体" w:hAnsi="宋体"/>
        </w:rPr>
        <w:t>采</w:t>
      </w:r>
      <w:r>
        <w:rPr>
          <w:rFonts w:ascii="宋体" w:hAnsi="宋体"/>
        </w:rPr>
        <w:t>表面原始锈蚀等级为D级的钢材不宜用作结构钢。</w:t>
      </w:r>
    </w:p>
    <w:p>
      <w:pPr>
        <w:pStyle w:val="4"/>
        <w:numPr>
          <w:ilvl w:val="0"/>
          <w:numId w:val="0"/>
        </w:numPr>
        <w:ind w:right="210"/>
        <w:rPr>
          <w:rFonts w:ascii="宋体" w:hAnsi="宋体"/>
        </w:rPr>
      </w:pPr>
      <w:r>
        <w:rPr>
          <w:rFonts w:ascii="黑体" w:hAnsi="黑体" w:eastAsia="黑体"/>
        </w:rPr>
        <w:t>C.3.2</w:t>
      </w:r>
      <w:r>
        <w:rPr>
          <w:rFonts w:hint="eastAsia"/>
        </w:rPr>
        <w:t>　</w:t>
      </w:r>
      <w:r>
        <w:rPr>
          <w:rFonts w:ascii="宋体" w:hAnsi="宋体"/>
        </w:rPr>
        <w:t>表面处理的清洁度要求不宜低于《涂装前钢材表面锈蚀等级和除锈等级》GB/T 8923规定的Sa 2</w:t>
      </w:r>
      <w:r>
        <w:rPr>
          <w:rFonts w:ascii="宋体" w:hAnsi="宋体" w:cs="Calibri"/>
        </w:rPr>
        <w:t>½</w:t>
      </w:r>
      <w:r>
        <w:rPr>
          <w:rFonts w:ascii="宋体" w:hAnsi="宋体"/>
        </w:rPr>
        <w:t>级，表面粗糙度要求应符合防腐蚀方案的特性。</w:t>
      </w:r>
    </w:p>
    <w:p>
      <w:pPr>
        <w:pStyle w:val="4"/>
        <w:numPr>
          <w:ilvl w:val="0"/>
          <w:numId w:val="0"/>
        </w:numPr>
        <w:ind w:right="210"/>
        <w:rPr>
          <w:rFonts w:ascii="宋体" w:hAnsi="宋体"/>
        </w:rPr>
      </w:pPr>
      <w:r>
        <w:rPr>
          <w:rFonts w:ascii="黑体" w:hAnsi="黑体" w:eastAsia="黑体"/>
        </w:rPr>
        <w:t>C.3.3</w:t>
      </w:r>
      <w:r>
        <w:rPr>
          <w:rFonts w:hint="eastAsia"/>
        </w:rPr>
        <w:t>　</w:t>
      </w:r>
      <w:r>
        <w:rPr>
          <w:rFonts w:ascii="宋体" w:hAnsi="宋体"/>
        </w:rPr>
        <w:t>局部难以喷砂处理的部位可采用手工或动力工具，达到《涂装前钢材表面锈蚀等级和除锈等级》GB/T 8923规定的St3级，并应具有合适的表面粗糙度，选用合适的防腐蚀产品。</w:t>
      </w:r>
    </w:p>
    <w:p>
      <w:pPr>
        <w:pStyle w:val="4"/>
        <w:numPr>
          <w:ilvl w:val="0"/>
          <w:numId w:val="0"/>
        </w:numPr>
        <w:ind w:right="210"/>
      </w:pPr>
      <w:r>
        <w:rPr>
          <w:rFonts w:ascii="黑体" w:hAnsi="黑体" w:eastAsia="黑体"/>
        </w:rPr>
        <w:t>C.4</w:t>
      </w:r>
      <w:r>
        <w:rPr>
          <w:rFonts w:hint="eastAsia"/>
        </w:rPr>
        <w:t>　</w:t>
      </w:r>
      <w:r>
        <w:rPr>
          <w:b/>
        </w:rPr>
        <w:t>钢结构防腐蚀涂料的配套方案，可根据环境腐蚀条件、防腐蚀设计年限、施工和维修条件等要求设计。</w:t>
      </w:r>
    </w:p>
    <w:p>
      <w:pPr>
        <w:pStyle w:val="4"/>
        <w:numPr>
          <w:ilvl w:val="0"/>
          <w:numId w:val="0"/>
        </w:numPr>
        <w:ind w:right="210"/>
      </w:pPr>
      <w:r>
        <w:rPr>
          <w:rFonts w:ascii="黑体" w:hAnsi="黑体" w:eastAsia="黑体"/>
        </w:rPr>
        <w:t>C.5</w:t>
      </w:r>
      <w:r>
        <w:rPr>
          <w:rFonts w:hint="eastAsia"/>
        </w:rPr>
        <w:t>　</w:t>
      </w:r>
      <w:r>
        <w:rPr>
          <w:b/>
        </w:rPr>
        <w:t>钢结构防腐涂装</w:t>
      </w:r>
      <w:r>
        <w:rPr>
          <w:rFonts w:hint="eastAsia"/>
          <w:b/>
        </w:rPr>
        <w:t>应进行</w:t>
      </w:r>
      <w:r>
        <w:rPr>
          <w:b/>
        </w:rPr>
        <w:t>定期检查和维修，制定防腐蚀维护计划。</w:t>
      </w:r>
      <w:r>
        <w:t xml:space="preserve"> </w:t>
      </w:r>
    </w:p>
    <w:p>
      <w:pPr>
        <w:pStyle w:val="4"/>
        <w:numPr>
          <w:ilvl w:val="0"/>
          <w:numId w:val="0"/>
        </w:numPr>
        <w:ind w:right="210"/>
        <w:rPr>
          <w:rFonts w:ascii="黑体" w:hAnsi="黑体" w:eastAsia="黑体"/>
        </w:rPr>
      </w:pPr>
      <w:r>
        <w:rPr>
          <w:rFonts w:ascii="黑体" w:hAnsi="黑体" w:eastAsia="黑体"/>
        </w:rPr>
        <w:t>C.6</w:t>
      </w:r>
      <w:r>
        <w:rPr>
          <w:rFonts w:hint="eastAsia" w:ascii="黑体" w:hAnsi="黑体" w:eastAsia="黑体"/>
        </w:rPr>
        <w:t>　</w:t>
      </w:r>
      <w:r>
        <w:rPr>
          <w:rFonts w:ascii="宋体" w:hAnsi="宋体"/>
          <w:b/>
        </w:rPr>
        <w:t>钢结构防腐涂装可参照表C.2选用。</w:t>
      </w:r>
    </w:p>
    <w:p>
      <w:pPr>
        <w:pStyle w:val="15"/>
        <w:spacing w:before="0" w:line="400" w:lineRule="exact"/>
        <w:ind w:left="0"/>
        <w:jc w:val="center"/>
      </w:pPr>
      <w:r>
        <w:rPr>
          <w:rFonts w:ascii="黑体" w:hAnsi="黑体" w:eastAsia="黑体"/>
        </w:rPr>
        <w:t>表C.2</w:t>
      </w:r>
      <w:r>
        <w:rPr>
          <w:rFonts w:hint="eastAsia" w:ascii="黑体" w:hAnsi="黑体" w:eastAsia="黑体"/>
        </w:rPr>
        <w:t>　</w:t>
      </w:r>
      <w:r>
        <w:rPr>
          <w:b/>
        </w:rPr>
        <w:t>钢结构用底漆、中间漆与面漆的配套组合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581"/>
        <w:gridCol w:w="1355"/>
        <w:gridCol w:w="1175"/>
        <w:gridCol w:w="235"/>
        <w:gridCol w:w="364"/>
        <w:gridCol w:w="425"/>
        <w:gridCol w:w="390"/>
        <w:gridCol w:w="364"/>
        <w:gridCol w:w="425"/>
        <w:gridCol w:w="390"/>
        <w:gridCol w:w="364"/>
        <w:gridCol w:w="425"/>
        <w:gridCol w:w="390"/>
        <w:gridCol w:w="364"/>
        <w:gridCol w:w="425"/>
        <w:gridCol w:w="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restart"/>
            <w:vAlign w:val="center"/>
          </w:tcPr>
          <w:p>
            <w:pPr>
              <w:ind w:firstLine="0" w:firstLineChars="0"/>
              <w:jc w:val="center"/>
              <w:rPr>
                <w:rFonts w:cs="Times New Roman"/>
                <w:sz w:val="18"/>
                <w:szCs w:val="18"/>
              </w:rPr>
            </w:pPr>
            <w:r>
              <w:rPr>
                <w:rFonts w:cs="Times New Roman"/>
                <w:kern w:val="0"/>
                <w:sz w:val="18"/>
                <w:szCs w:val="18"/>
              </w:rPr>
              <w:t>序号</w:t>
            </w:r>
          </w:p>
        </w:tc>
        <w:tc>
          <w:tcPr>
            <w:tcW w:w="826" w:type="pct"/>
            <w:vMerge w:val="restart"/>
            <w:vAlign w:val="center"/>
          </w:tcPr>
          <w:p>
            <w:pPr>
              <w:ind w:firstLine="0" w:firstLineChars="0"/>
              <w:jc w:val="center"/>
              <w:rPr>
                <w:rFonts w:cs="Times New Roman"/>
                <w:sz w:val="18"/>
                <w:szCs w:val="18"/>
              </w:rPr>
            </w:pPr>
            <w:r>
              <w:rPr>
                <w:rFonts w:cs="Times New Roman"/>
                <w:kern w:val="0"/>
                <w:sz w:val="18"/>
                <w:szCs w:val="18"/>
              </w:rPr>
              <w:t>底漆</w:t>
            </w:r>
          </w:p>
        </w:tc>
        <w:tc>
          <w:tcPr>
            <w:tcW w:w="708" w:type="pct"/>
            <w:vMerge w:val="restart"/>
            <w:vAlign w:val="center"/>
          </w:tcPr>
          <w:p>
            <w:pPr>
              <w:ind w:firstLine="0" w:firstLineChars="0"/>
              <w:jc w:val="center"/>
              <w:rPr>
                <w:rFonts w:cs="Times New Roman"/>
                <w:sz w:val="18"/>
                <w:szCs w:val="18"/>
              </w:rPr>
            </w:pPr>
            <w:r>
              <w:rPr>
                <w:rFonts w:cs="Times New Roman"/>
                <w:kern w:val="0"/>
                <w:sz w:val="18"/>
                <w:szCs w:val="18"/>
              </w:rPr>
              <w:t>中间漆与面漆</w:t>
            </w:r>
          </w:p>
        </w:tc>
        <w:tc>
          <w:tcPr>
            <w:tcW w:w="614" w:type="pct"/>
            <w:vMerge w:val="restart"/>
            <w:vAlign w:val="center"/>
          </w:tcPr>
          <w:p>
            <w:pPr>
              <w:ind w:firstLine="0" w:firstLineChars="0"/>
              <w:jc w:val="center"/>
              <w:rPr>
                <w:rFonts w:cs="Times New Roman"/>
                <w:sz w:val="18"/>
                <w:szCs w:val="18"/>
              </w:rPr>
            </w:pPr>
            <w:r>
              <w:rPr>
                <w:rFonts w:cs="Times New Roman"/>
                <w:sz w:val="18"/>
                <w:szCs w:val="18"/>
              </w:rPr>
              <w:t>涂层遍数及总厚度</w:t>
            </w:r>
          </w:p>
        </w:tc>
        <w:tc>
          <w:tcPr>
            <w:tcW w:w="123" w:type="pct"/>
            <w:vMerge w:val="restart"/>
            <w:vAlign w:val="center"/>
          </w:tcPr>
          <w:p>
            <w:pPr>
              <w:ind w:firstLine="0" w:firstLineChars="0"/>
              <w:jc w:val="center"/>
              <w:rPr>
                <w:rFonts w:cs="Times New Roman"/>
                <w:sz w:val="18"/>
                <w:szCs w:val="18"/>
              </w:rPr>
            </w:pPr>
          </w:p>
        </w:tc>
        <w:tc>
          <w:tcPr>
            <w:tcW w:w="616" w:type="pct"/>
            <w:gridSpan w:val="3"/>
            <w:vAlign w:val="center"/>
          </w:tcPr>
          <w:p>
            <w:pPr>
              <w:ind w:firstLine="0" w:firstLineChars="0"/>
              <w:jc w:val="center"/>
              <w:rPr>
                <w:rFonts w:cs="Times New Roman"/>
                <w:sz w:val="18"/>
                <w:szCs w:val="18"/>
              </w:rPr>
            </w:pPr>
            <w:r>
              <w:rPr>
                <w:rFonts w:cs="Times New Roman"/>
                <w:sz w:val="18"/>
                <w:szCs w:val="18"/>
              </w:rPr>
              <w:t>C2</w:t>
            </w:r>
          </w:p>
        </w:tc>
        <w:tc>
          <w:tcPr>
            <w:tcW w:w="616" w:type="pct"/>
            <w:gridSpan w:val="3"/>
            <w:vAlign w:val="center"/>
          </w:tcPr>
          <w:p>
            <w:pPr>
              <w:ind w:firstLine="0" w:firstLineChars="0"/>
              <w:jc w:val="center"/>
              <w:rPr>
                <w:rFonts w:cs="Times New Roman"/>
                <w:sz w:val="18"/>
                <w:szCs w:val="18"/>
              </w:rPr>
            </w:pPr>
            <w:r>
              <w:rPr>
                <w:rFonts w:cs="Times New Roman"/>
                <w:sz w:val="18"/>
                <w:szCs w:val="18"/>
              </w:rPr>
              <w:t>C3</w:t>
            </w:r>
          </w:p>
        </w:tc>
        <w:tc>
          <w:tcPr>
            <w:tcW w:w="616" w:type="pct"/>
            <w:gridSpan w:val="3"/>
            <w:vAlign w:val="center"/>
          </w:tcPr>
          <w:p>
            <w:pPr>
              <w:ind w:firstLine="0" w:firstLineChars="0"/>
              <w:jc w:val="center"/>
              <w:rPr>
                <w:rFonts w:cs="Times New Roman"/>
                <w:sz w:val="18"/>
                <w:szCs w:val="18"/>
              </w:rPr>
            </w:pPr>
            <w:r>
              <w:rPr>
                <w:rFonts w:cs="Times New Roman"/>
                <w:sz w:val="18"/>
                <w:szCs w:val="18"/>
              </w:rPr>
              <w:t>C4</w:t>
            </w:r>
          </w:p>
        </w:tc>
        <w:tc>
          <w:tcPr>
            <w:tcW w:w="614" w:type="pct"/>
            <w:gridSpan w:val="3"/>
            <w:vAlign w:val="center"/>
          </w:tcPr>
          <w:p>
            <w:pPr>
              <w:ind w:firstLine="0" w:firstLineChars="0"/>
              <w:jc w:val="center"/>
              <w:rPr>
                <w:rFonts w:cs="Times New Roman"/>
                <w:sz w:val="18"/>
                <w:szCs w:val="18"/>
              </w:rPr>
            </w:pPr>
            <w:r>
              <w:rPr>
                <w:rFonts w:cs="Times New Roman"/>
                <w:sz w:val="18"/>
                <w:szCs w:val="18"/>
              </w:rPr>
              <w:t>C5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sz w:val="18"/>
                <w:szCs w:val="18"/>
              </w:rPr>
            </w:pPr>
          </w:p>
        </w:tc>
        <w:tc>
          <w:tcPr>
            <w:tcW w:w="708" w:type="pct"/>
            <w:vMerge w:val="continue"/>
            <w:vAlign w:val="center"/>
          </w:tcPr>
          <w:p>
            <w:pPr>
              <w:ind w:firstLine="0" w:firstLineChars="0"/>
              <w:jc w:val="center"/>
              <w:rPr>
                <w:rFonts w:cs="Times New Roman"/>
                <w:sz w:val="18"/>
                <w:szCs w:val="18"/>
              </w:rPr>
            </w:pPr>
          </w:p>
        </w:tc>
        <w:tc>
          <w:tcPr>
            <w:tcW w:w="614" w:type="pct"/>
            <w:vMerge w:val="continue"/>
            <w:vAlign w:val="center"/>
          </w:tcPr>
          <w:p>
            <w:pPr>
              <w:ind w:firstLine="0" w:firstLineChars="0"/>
              <w:jc w:val="center"/>
              <w:rPr>
                <w:rFonts w:cs="Times New Roman"/>
                <w:sz w:val="18"/>
                <w:szCs w:val="18"/>
              </w:rPr>
            </w:pP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r>
              <w:rPr>
                <w:rFonts w:cs="Times New Roman"/>
                <w:sz w:val="18"/>
                <w:szCs w:val="18"/>
              </w:rPr>
              <w:t>L</w:t>
            </w:r>
          </w:p>
        </w:tc>
        <w:tc>
          <w:tcPr>
            <w:tcW w:w="222" w:type="pct"/>
            <w:vAlign w:val="center"/>
          </w:tcPr>
          <w:p>
            <w:pPr>
              <w:ind w:firstLine="0" w:firstLineChars="0"/>
              <w:jc w:val="center"/>
              <w:rPr>
                <w:rFonts w:cs="Times New Roman"/>
                <w:sz w:val="18"/>
                <w:szCs w:val="18"/>
              </w:rPr>
            </w:pPr>
            <w:r>
              <w:rPr>
                <w:rFonts w:cs="Times New Roman"/>
                <w:sz w:val="18"/>
                <w:szCs w:val="18"/>
              </w:rPr>
              <w:t>M</w:t>
            </w:r>
          </w:p>
        </w:tc>
        <w:tc>
          <w:tcPr>
            <w:tcW w:w="204" w:type="pct"/>
            <w:vAlign w:val="center"/>
          </w:tcPr>
          <w:p>
            <w:pPr>
              <w:ind w:firstLine="0" w:firstLineChars="0"/>
              <w:jc w:val="center"/>
              <w:rPr>
                <w:rFonts w:cs="Times New Roman"/>
                <w:sz w:val="18"/>
                <w:szCs w:val="18"/>
              </w:rPr>
            </w:pPr>
            <w:r>
              <w:rPr>
                <w:rFonts w:cs="Times New Roman"/>
                <w:sz w:val="18"/>
                <w:szCs w:val="18"/>
              </w:rPr>
              <w:t>H</w:t>
            </w:r>
          </w:p>
        </w:tc>
        <w:tc>
          <w:tcPr>
            <w:tcW w:w="190" w:type="pct"/>
            <w:vAlign w:val="center"/>
          </w:tcPr>
          <w:p>
            <w:pPr>
              <w:ind w:firstLine="0" w:firstLineChars="0"/>
              <w:jc w:val="center"/>
              <w:rPr>
                <w:rFonts w:cs="Times New Roman"/>
                <w:sz w:val="18"/>
                <w:szCs w:val="18"/>
              </w:rPr>
            </w:pPr>
            <w:r>
              <w:rPr>
                <w:rFonts w:cs="Times New Roman"/>
                <w:sz w:val="18"/>
                <w:szCs w:val="18"/>
              </w:rPr>
              <w:t>L</w:t>
            </w:r>
          </w:p>
        </w:tc>
        <w:tc>
          <w:tcPr>
            <w:tcW w:w="222" w:type="pct"/>
            <w:vAlign w:val="center"/>
          </w:tcPr>
          <w:p>
            <w:pPr>
              <w:ind w:firstLine="0" w:firstLineChars="0"/>
              <w:jc w:val="center"/>
              <w:rPr>
                <w:rFonts w:cs="Times New Roman"/>
                <w:sz w:val="18"/>
                <w:szCs w:val="18"/>
              </w:rPr>
            </w:pPr>
            <w:r>
              <w:rPr>
                <w:rFonts w:cs="Times New Roman"/>
                <w:sz w:val="18"/>
                <w:szCs w:val="18"/>
              </w:rPr>
              <w:t>M</w:t>
            </w:r>
          </w:p>
        </w:tc>
        <w:tc>
          <w:tcPr>
            <w:tcW w:w="204" w:type="pct"/>
            <w:vAlign w:val="center"/>
          </w:tcPr>
          <w:p>
            <w:pPr>
              <w:ind w:firstLine="0" w:firstLineChars="0"/>
              <w:jc w:val="center"/>
              <w:rPr>
                <w:rFonts w:cs="Times New Roman"/>
                <w:sz w:val="18"/>
                <w:szCs w:val="18"/>
              </w:rPr>
            </w:pPr>
            <w:r>
              <w:rPr>
                <w:rFonts w:cs="Times New Roman"/>
                <w:sz w:val="18"/>
                <w:szCs w:val="18"/>
              </w:rPr>
              <w:t>H</w:t>
            </w:r>
          </w:p>
        </w:tc>
        <w:tc>
          <w:tcPr>
            <w:tcW w:w="190" w:type="pct"/>
            <w:vAlign w:val="center"/>
          </w:tcPr>
          <w:p>
            <w:pPr>
              <w:ind w:firstLine="0" w:firstLineChars="0"/>
              <w:jc w:val="center"/>
              <w:rPr>
                <w:rFonts w:cs="Times New Roman"/>
                <w:sz w:val="18"/>
                <w:szCs w:val="18"/>
              </w:rPr>
            </w:pPr>
            <w:r>
              <w:rPr>
                <w:rFonts w:cs="Times New Roman"/>
                <w:sz w:val="18"/>
                <w:szCs w:val="18"/>
              </w:rPr>
              <w:t>L</w:t>
            </w:r>
          </w:p>
        </w:tc>
        <w:tc>
          <w:tcPr>
            <w:tcW w:w="222" w:type="pct"/>
            <w:vAlign w:val="center"/>
          </w:tcPr>
          <w:p>
            <w:pPr>
              <w:ind w:firstLine="0" w:firstLineChars="0"/>
              <w:jc w:val="center"/>
              <w:rPr>
                <w:rFonts w:cs="Times New Roman"/>
                <w:sz w:val="18"/>
                <w:szCs w:val="18"/>
              </w:rPr>
            </w:pPr>
            <w:r>
              <w:rPr>
                <w:rFonts w:cs="Times New Roman"/>
                <w:sz w:val="18"/>
                <w:szCs w:val="18"/>
              </w:rPr>
              <w:t>M</w:t>
            </w:r>
          </w:p>
        </w:tc>
        <w:tc>
          <w:tcPr>
            <w:tcW w:w="204" w:type="pct"/>
            <w:vAlign w:val="center"/>
          </w:tcPr>
          <w:p>
            <w:pPr>
              <w:ind w:firstLine="0" w:firstLineChars="0"/>
              <w:jc w:val="center"/>
              <w:rPr>
                <w:rFonts w:cs="Times New Roman"/>
                <w:sz w:val="18"/>
                <w:szCs w:val="18"/>
              </w:rPr>
            </w:pPr>
            <w:r>
              <w:rPr>
                <w:rFonts w:cs="Times New Roman"/>
                <w:sz w:val="18"/>
                <w:szCs w:val="18"/>
              </w:rPr>
              <w:t>H</w:t>
            </w:r>
          </w:p>
        </w:tc>
        <w:tc>
          <w:tcPr>
            <w:tcW w:w="190" w:type="pct"/>
            <w:vAlign w:val="center"/>
          </w:tcPr>
          <w:p>
            <w:pPr>
              <w:ind w:firstLine="0" w:firstLineChars="0"/>
              <w:jc w:val="center"/>
              <w:rPr>
                <w:rFonts w:cs="Times New Roman"/>
                <w:sz w:val="18"/>
                <w:szCs w:val="18"/>
              </w:rPr>
            </w:pPr>
            <w:r>
              <w:rPr>
                <w:rFonts w:cs="Times New Roman"/>
                <w:sz w:val="18"/>
                <w:szCs w:val="18"/>
              </w:rPr>
              <w:t>L</w:t>
            </w:r>
          </w:p>
        </w:tc>
        <w:tc>
          <w:tcPr>
            <w:tcW w:w="222" w:type="pct"/>
            <w:vAlign w:val="center"/>
          </w:tcPr>
          <w:p>
            <w:pPr>
              <w:ind w:firstLine="0" w:firstLineChars="0"/>
              <w:jc w:val="center"/>
              <w:rPr>
                <w:rFonts w:cs="Times New Roman"/>
                <w:sz w:val="18"/>
                <w:szCs w:val="18"/>
              </w:rPr>
            </w:pPr>
            <w:r>
              <w:rPr>
                <w:rFonts w:cs="Times New Roman"/>
                <w:sz w:val="18"/>
                <w:szCs w:val="18"/>
              </w:rPr>
              <w:t>M</w:t>
            </w:r>
          </w:p>
        </w:tc>
        <w:tc>
          <w:tcPr>
            <w:tcW w:w="202" w:type="pct"/>
            <w:vAlign w:val="center"/>
          </w:tcPr>
          <w:p>
            <w:pPr>
              <w:ind w:firstLine="0" w:firstLineChars="0"/>
              <w:jc w:val="center"/>
              <w:rPr>
                <w:rFonts w:cs="Times New Roman"/>
                <w:sz w:val="18"/>
                <w:szCs w:val="18"/>
              </w:rPr>
            </w:pPr>
            <w:r>
              <w:rPr>
                <w:rFonts w:cs="Times New Roman"/>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ind w:firstLine="0" w:firstLineChars="0"/>
              <w:jc w:val="center"/>
              <w:rPr>
                <w:rFonts w:cs="Times New Roman"/>
                <w:sz w:val="18"/>
                <w:szCs w:val="18"/>
              </w:rPr>
            </w:pPr>
          </w:p>
        </w:tc>
        <w:tc>
          <w:tcPr>
            <w:tcW w:w="826" w:type="pct"/>
            <w:vAlign w:val="center"/>
          </w:tcPr>
          <w:p>
            <w:pPr>
              <w:ind w:firstLine="0" w:firstLineChars="0"/>
              <w:jc w:val="center"/>
              <w:rPr>
                <w:rFonts w:cs="Times New Roman"/>
                <w:kern w:val="0"/>
                <w:sz w:val="18"/>
                <w:szCs w:val="18"/>
              </w:rPr>
            </w:pPr>
            <w:r>
              <w:rPr>
                <w:rFonts w:cs="Times New Roman"/>
                <w:kern w:val="0"/>
                <w:sz w:val="18"/>
                <w:szCs w:val="18"/>
              </w:rPr>
              <w:t>醇酸防锈漆底漆1遍，40μm</w:t>
            </w:r>
          </w:p>
          <w:p>
            <w:pPr>
              <w:ind w:firstLine="0" w:firstLineChars="0"/>
              <w:jc w:val="center"/>
              <w:rPr>
                <w:rFonts w:cs="Times New Roman"/>
                <w:kern w:val="0"/>
                <w:sz w:val="18"/>
                <w:szCs w:val="18"/>
              </w:rPr>
            </w:pPr>
            <w:r>
              <w:rPr>
                <w:rFonts w:cs="Times New Roman"/>
                <w:kern w:val="0"/>
                <w:sz w:val="18"/>
                <w:szCs w:val="18"/>
              </w:rPr>
              <w:t>酚醛防锈漆底漆1遍，40μm</w:t>
            </w:r>
          </w:p>
          <w:p>
            <w:pPr>
              <w:ind w:firstLine="0" w:firstLineChars="0"/>
              <w:jc w:val="center"/>
              <w:rPr>
                <w:rFonts w:cs="Times New Roman"/>
                <w:sz w:val="18"/>
                <w:szCs w:val="18"/>
              </w:rPr>
            </w:pPr>
            <w:r>
              <w:rPr>
                <w:rFonts w:cs="Times New Roman"/>
                <w:kern w:val="0"/>
                <w:sz w:val="18"/>
                <w:szCs w:val="18"/>
              </w:rPr>
              <w:t>云铁醇酸防锈底漆1遍，40μm</w:t>
            </w:r>
          </w:p>
        </w:tc>
        <w:tc>
          <w:tcPr>
            <w:tcW w:w="708" w:type="pct"/>
            <w:vAlign w:val="center"/>
          </w:tcPr>
          <w:p>
            <w:pPr>
              <w:ind w:firstLine="0" w:firstLineChars="0"/>
              <w:jc w:val="center"/>
              <w:rPr>
                <w:rFonts w:cs="Times New Roman"/>
                <w:sz w:val="18"/>
                <w:szCs w:val="18"/>
              </w:rPr>
            </w:pPr>
            <w:r>
              <w:rPr>
                <w:rFonts w:cs="Times New Roman"/>
                <w:kern w:val="0"/>
                <w:sz w:val="18"/>
                <w:szCs w:val="18"/>
              </w:rPr>
              <w:t>各色醇酸磁漆</w:t>
            </w:r>
          </w:p>
        </w:tc>
        <w:tc>
          <w:tcPr>
            <w:tcW w:w="614" w:type="pct"/>
            <w:vAlign w:val="center"/>
          </w:tcPr>
          <w:p>
            <w:pPr>
              <w:ind w:firstLine="0" w:firstLineChars="0"/>
              <w:jc w:val="center"/>
              <w:rPr>
                <w:rFonts w:cs="Times New Roman"/>
                <w:sz w:val="18"/>
                <w:szCs w:val="18"/>
              </w:rPr>
            </w:pPr>
            <w:r>
              <w:rPr>
                <w:rFonts w:cs="Times New Roman"/>
                <w:kern w:val="0"/>
                <w:sz w:val="18"/>
                <w:szCs w:val="18"/>
              </w:rPr>
              <w:t>2遍，80μm</w:t>
            </w:r>
          </w:p>
        </w:tc>
        <w:tc>
          <w:tcPr>
            <w:tcW w:w="123"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r>
              <w:rPr>
                <w:rFonts w:cs="Times New Roman"/>
                <w:sz w:val="18"/>
                <w:szCs w:val="18"/>
              </w:rPr>
              <w:t>√</w:t>
            </w: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vMerge w:val="restart"/>
            <w:vAlign w:val="center"/>
          </w:tcPr>
          <w:p>
            <w:pPr>
              <w:ind w:firstLine="0" w:firstLineChars="0"/>
              <w:jc w:val="center"/>
              <w:rPr>
                <w:rFonts w:cs="Times New Roman"/>
                <w:sz w:val="18"/>
                <w:szCs w:val="18"/>
              </w:rPr>
            </w:pPr>
          </w:p>
        </w:tc>
        <w:tc>
          <w:tcPr>
            <w:tcW w:w="826" w:type="pct"/>
            <w:vMerge w:val="restart"/>
            <w:vAlign w:val="center"/>
          </w:tcPr>
          <w:p>
            <w:pPr>
              <w:ind w:firstLine="0" w:firstLineChars="0"/>
              <w:jc w:val="center"/>
              <w:rPr>
                <w:rFonts w:cs="Times New Roman"/>
                <w:kern w:val="0"/>
                <w:sz w:val="18"/>
                <w:szCs w:val="18"/>
              </w:rPr>
            </w:pPr>
            <w:r>
              <w:rPr>
                <w:rFonts w:cs="Times New Roman"/>
                <w:kern w:val="0"/>
                <w:sz w:val="18"/>
                <w:szCs w:val="18"/>
              </w:rPr>
              <w:t>醇酸防锈漆底漆1~2遍，80μm</w:t>
            </w:r>
          </w:p>
          <w:p>
            <w:pPr>
              <w:ind w:firstLine="0" w:firstLineChars="0"/>
              <w:jc w:val="center"/>
              <w:rPr>
                <w:rFonts w:cs="Times New Roman"/>
                <w:kern w:val="0"/>
                <w:sz w:val="18"/>
                <w:szCs w:val="18"/>
              </w:rPr>
            </w:pPr>
            <w:r>
              <w:rPr>
                <w:rFonts w:cs="Times New Roman"/>
                <w:kern w:val="0"/>
                <w:sz w:val="18"/>
                <w:szCs w:val="18"/>
              </w:rPr>
              <w:t>酚醛防锈漆底漆1~2遍，80μm</w:t>
            </w:r>
          </w:p>
          <w:p>
            <w:pPr>
              <w:ind w:firstLine="0" w:firstLineChars="0"/>
              <w:jc w:val="center"/>
              <w:rPr>
                <w:rFonts w:cs="Times New Roman"/>
                <w:sz w:val="18"/>
                <w:szCs w:val="18"/>
              </w:rPr>
            </w:pPr>
            <w:r>
              <w:rPr>
                <w:rFonts w:cs="Times New Roman"/>
                <w:kern w:val="0"/>
                <w:sz w:val="18"/>
                <w:szCs w:val="18"/>
              </w:rPr>
              <w:t>云铁醇酸防锈底漆1~2遍，80μm</w:t>
            </w:r>
          </w:p>
        </w:tc>
        <w:tc>
          <w:tcPr>
            <w:tcW w:w="708" w:type="pct"/>
            <w:vAlign w:val="center"/>
          </w:tcPr>
          <w:p>
            <w:pPr>
              <w:ind w:firstLine="0" w:firstLineChars="0"/>
              <w:jc w:val="center"/>
              <w:rPr>
                <w:rFonts w:cs="Times New Roman"/>
                <w:sz w:val="18"/>
                <w:szCs w:val="18"/>
              </w:rPr>
            </w:pPr>
            <w:r>
              <w:rPr>
                <w:rFonts w:cs="Times New Roman"/>
                <w:kern w:val="0"/>
                <w:sz w:val="18"/>
                <w:szCs w:val="18"/>
              </w:rPr>
              <w:t>各色醇酸磁漆</w:t>
            </w:r>
          </w:p>
        </w:tc>
        <w:tc>
          <w:tcPr>
            <w:tcW w:w="614" w:type="pct"/>
            <w:vAlign w:val="center"/>
          </w:tcPr>
          <w:p>
            <w:pPr>
              <w:ind w:firstLine="0" w:firstLineChars="0"/>
              <w:jc w:val="center"/>
              <w:rPr>
                <w:rFonts w:cs="Times New Roman"/>
                <w:sz w:val="18"/>
                <w:szCs w:val="18"/>
              </w:rPr>
            </w:pPr>
            <w:r>
              <w:rPr>
                <w:rFonts w:cs="Times New Roman"/>
                <w:kern w:val="0"/>
                <w:sz w:val="18"/>
                <w:szCs w:val="18"/>
              </w:rPr>
              <w:t>2~3遍，120μm</w:t>
            </w:r>
          </w:p>
        </w:tc>
        <w:tc>
          <w:tcPr>
            <w:tcW w:w="123" w:type="pct"/>
            <w:vMerge w:val="restar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r>
              <w:rPr>
                <w:rFonts w:cs="Times New Roman"/>
                <w:sz w:val="18"/>
                <w:szCs w:val="18"/>
              </w:rPr>
              <w:t>√</w:t>
            </w: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kern w:val="0"/>
                <w:sz w:val="18"/>
                <w:szCs w:val="18"/>
              </w:rPr>
            </w:pPr>
          </w:p>
        </w:tc>
        <w:tc>
          <w:tcPr>
            <w:tcW w:w="708" w:type="pct"/>
            <w:vAlign w:val="center"/>
          </w:tcPr>
          <w:p>
            <w:pPr>
              <w:ind w:firstLine="0" w:firstLineChars="0"/>
              <w:jc w:val="center"/>
              <w:rPr>
                <w:rFonts w:cs="Times New Roman"/>
                <w:kern w:val="0"/>
                <w:sz w:val="18"/>
                <w:szCs w:val="18"/>
              </w:rPr>
            </w:pPr>
            <w:r>
              <w:rPr>
                <w:rFonts w:cs="Times New Roman"/>
                <w:kern w:val="0"/>
                <w:sz w:val="18"/>
                <w:szCs w:val="18"/>
              </w:rPr>
              <w:t>各色醇酸磁漆</w:t>
            </w:r>
          </w:p>
        </w:tc>
        <w:tc>
          <w:tcPr>
            <w:tcW w:w="614" w:type="pct"/>
            <w:vAlign w:val="center"/>
          </w:tcPr>
          <w:p>
            <w:pPr>
              <w:ind w:firstLine="0" w:firstLineChars="0"/>
              <w:jc w:val="center"/>
              <w:rPr>
                <w:rFonts w:cs="Times New Roman"/>
                <w:sz w:val="18"/>
                <w:szCs w:val="18"/>
              </w:rPr>
            </w:pPr>
            <w:r>
              <w:rPr>
                <w:rFonts w:cs="Times New Roman"/>
                <w:kern w:val="0"/>
                <w:sz w:val="18"/>
                <w:szCs w:val="18"/>
              </w:rPr>
              <w:t>2~4遍，160μm</w:t>
            </w: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ind w:firstLine="0" w:firstLineChars="0"/>
              <w:jc w:val="center"/>
              <w:rPr>
                <w:rFonts w:cs="Times New Roman"/>
                <w:sz w:val="18"/>
                <w:szCs w:val="18"/>
              </w:rPr>
            </w:pPr>
          </w:p>
        </w:tc>
        <w:tc>
          <w:tcPr>
            <w:tcW w:w="826" w:type="pct"/>
            <w:vAlign w:val="center"/>
          </w:tcPr>
          <w:p>
            <w:pPr>
              <w:ind w:firstLine="0" w:firstLineChars="0"/>
              <w:jc w:val="center"/>
              <w:rPr>
                <w:rFonts w:cs="Times New Roman"/>
                <w:kern w:val="0"/>
                <w:sz w:val="18"/>
                <w:szCs w:val="18"/>
              </w:rPr>
            </w:pPr>
            <w:r>
              <w:rPr>
                <w:rFonts w:cs="Times New Roman"/>
                <w:kern w:val="0"/>
                <w:sz w:val="18"/>
                <w:szCs w:val="18"/>
              </w:rPr>
              <w:t>氯化橡胶底漆1~2遍，80μm</w:t>
            </w:r>
          </w:p>
          <w:p>
            <w:pPr>
              <w:ind w:firstLine="0" w:firstLineChars="0"/>
              <w:jc w:val="center"/>
              <w:rPr>
                <w:rFonts w:cs="Times New Roman"/>
                <w:sz w:val="18"/>
                <w:szCs w:val="18"/>
              </w:rPr>
            </w:pPr>
            <w:r>
              <w:rPr>
                <w:rFonts w:cs="Times New Roman"/>
                <w:kern w:val="0"/>
                <w:sz w:val="18"/>
                <w:szCs w:val="18"/>
              </w:rPr>
              <w:t>氯磺化聚乙烯底漆1~2遍，80μm</w:t>
            </w:r>
          </w:p>
        </w:tc>
        <w:tc>
          <w:tcPr>
            <w:tcW w:w="708" w:type="pct"/>
            <w:vAlign w:val="center"/>
          </w:tcPr>
          <w:p>
            <w:pPr>
              <w:ind w:firstLine="0" w:firstLineChars="0"/>
              <w:jc w:val="center"/>
              <w:rPr>
                <w:rFonts w:cs="Times New Roman"/>
                <w:kern w:val="0"/>
                <w:sz w:val="18"/>
                <w:szCs w:val="18"/>
              </w:rPr>
            </w:pPr>
            <w:r>
              <w:rPr>
                <w:rFonts w:cs="Times New Roman"/>
                <w:kern w:val="0"/>
                <w:sz w:val="18"/>
                <w:szCs w:val="18"/>
              </w:rPr>
              <w:t>氯化橡胶面漆</w:t>
            </w:r>
          </w:p>
          <w:p>
            <w:pPr>
              <w:ind w:firstLine="0" w:firstLineChars="0"/>
              <w:jc w:val="center"/>
              <w:rPr>
                <w:rFonts w:cs="Times New Roman"/>
                <w:sz w:val="18"/>
                <w:szCs w:val="18"/>
              </w:rPr>
            </w:pPr>
            <w:r>
              <w:rPr>
                <w:rFonts w:cs="Times New Roman"/>
                <w:kern w:val="0"/>
                <w:sz w:val="18"/>
                <w:szCs w:val="18"/>
              </w:rPr>
              <w:t>氯磺化聚乙烯面漆</w:t>
            </w:r>
          </w:p>
        </w:tc>
        <w:tc>
          <w:tcPr>
            <w:tcW w:w="614" w:type="pct"/>
            <w:vAlign w:val="center"/>
          </w:tcPr>
          <w:p>
            <w:pPr>
              <w:ind w:firstLine="0" w:firstLineChars="0"/>
              <w:jc w:val="center"/>
              <w:rPr>
                <w:rFonts w:cs="Times New Roman"/>
                <w:sz w:val="18"/>
                <w:szCs w:val="18"/>
              </w:rPr>
            </w:pPr>
            <w:r>
              <w:rPr>
                <w:rFonts w:cs="Times New Roman"/>
                <w:kern w:val="0"/>
                <w:sz w:val="18"/>
                <w:szCs w:val="18"/>
              </w:rPr>
              <w:t>2~4遍，160μm</w:t>
            </w:r>
          </w:p>
        </w:tc>
        <w:tc>
          <w:tcPr>
            <w:tcW w:w="123"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restart"/>
            <w:vAlign w:val="center"/>
          </w:tcPr>
          <w:p>
            <w:pPr>
              <w:ind w:firstLine="0" w:firstLineChars="0"/>
              <w:jc w:val="center"/>
              <w:rPr>
                <w:rFonts w:cs="Times New Roman"/>
                <w:sz w:val="18"/>
                <w:szCs w:val="18"/>
              </w:rPr>
            </w:pPr>
          </w:p>
        </w:tc>
        <w:tc>
          <w:tcPr>
            <w:tcW w:w="826" w:type="pct"/>
            <w:vMerge w:val="restart"/>
            <w:vAlign w:val="center"/>
          </w:tcPr>
          <w:p>
            <w:pPr>
              <w:ind w:firstLine="0" w:firstLineChars="0"/>
              <w:jc w:val="center"/>
              <w:rPr>
                <w:rFonts w:cs="Times New Roman"/>
                <w:kern w:val="0"/>
                <w:sz w:val="18"/>
                <w:szCs w:val="18"/>
              </w:rPr>
            </w:pPr>
            <w:r>
              <w:rPr>
                <w:rFonts w:cs="Times New Roman"/>
                <w:kern w:val="0"/>
                <w:sz w:val="18"/>
                <w:szCs w:val="18"/>
              </w:rPr>
              <w:t>铁红环氧脂底漆1~2遍，80μm</w:t>
            </w:r>
          </w:p>
          <w:p>
            <w:pPr>
              <w:ind w:firstLine="0" w:firstLineChars="0"/>
              <w:jc w:val="center"/>
              <w:rPr>
                <w:rFonts w:cs="Times New Roman"/>
                <w:sz w:val="18"/>
                <w:szCs w:val="18"/>
              </w:rPr>
            </w:pPr>
          </w:p>
        </w:tc>
        <w:tc>
          <w:tcPr>
            <w:tcW w:w="708" w:type="pct"/>
            <w:vMerge w:val="restart"/>
            <w:vAlign w:val="center"/>
          </w:tcPr>
          <w:p>
            <w:pPr>
              <w:ind w:firstLine="0" w:firstLineChars="0"/>
              <w:jc w:val="center"/>
              <w:rPr>
                <w:rFonts w:cs="Times New Roman"/>
                <w:kern w:val="0"/>
                <w:sz w:val="18"/>
                <w:szCs w:val="18"/>
              </w:rPr>
            </w:pPr>
            <w:r>
              <w:rPr>
                <w:rFonts w:cs="Times New Roman"/>
                <w:kern w:val="0"/>
                <w:sz w:val="18"/>
                <w:szCs w:val="18"/>
              </w:rPr>
              <w:t>环氧云铁中间漆+氯化橡胶漆</w:t>
            </w:r>
          </w:p>
          <w:p>
            <w:pPr>
              <w:ind w:firstLine="0" w:firstLineChars="0"/>
              <w:jc w:val="center"/>
              <w:rPr>
                <w:rFonts w:cs="Times New Roman"/>
                <w:kern w:val="0"/>
                <w:sz w:val="18"/>
                <w:szCs w:val="18"/>
              </w:rPr>
            </w:pPr>
            <w:r>
              <w:rPr>
                <w:rFonts w:cs="Times New Roman"/>
                <w:kern w:val="0"/>
                <w:sz w:val="18"/>
                <w:szCs w:val="18"/>
              </w:rPr>
              <w:t>环氧云铁中间漆+氯化橡胶漆</w:t>
            </w:r>
          </w:p>
          <w:p>
            <w:pPr>
              <w:ind w:firstLine="0" w:firstLineChars="0"/>
              <w:jc w:val="center"/>
              <w:rPr>
                <w:rFonts w:cs="Times New Roman"/>
                <w:sz w:val="18"/>
                <w:szCs w:val="18"/>
              </w:rPr>
            </w:pPr>
          </w:p>
        </w:tc>
        <w:tc>
          <w:tcPr>
            <w:tcW w:w="614" w:type="pct"/>
            <w:vAlign w:val="center"/>
          </w:tcPr>
          <w:p>
            <w:pPr>
              <w:ind w:firstLine="0" w:firstLineChars="0"/>
              <w:jc w:val="center"/>
              <w:rPr>
                <w:rFonts w:cs="Times New Roman"/>
                <w:sz w:val="18"/>
                <w:szCs w:val="18"/>
              </w:rPr>
            </w:pPr>
            <w:r>
              <w:rPr>
                <w:rFonts w:cs="Times New Roman"/>
                <w:kern w:val="0"/>
                <w:sz w:val="18"/>
                <w:szCs w:val="18"/>
              </w:rPr>
              <w:t>2 ~3遍，120μm</w:t>
            </w:r>
          </w:p>
        </w:tc>
        <w:tc>
          <w:tcPr>
            <w:tcW w:w="123" w:type="pct"/>
            <w:vMerge w:val="restar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r>
              <w:rPr>
                <w:rFonts w:cs="Times New Roman"/>
                <w:sz w:val="18"/>
                <w:szCs w:val="18"/>
              </w:rPr>
              <w:t>√</w:t>
            </w: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kern w:val="0"/>
                <w:sz w:val="18"/>
                <w:szCs w:val="18"/>
              </w:rPr>
            </w:pPr>
          </w:p>
        </w:tc>
        <w:tc>
          <w:tcPr>
            <w:tcW w:w="708" w:type="pct"/>
            <w:vMerge w:val="continue"/>
            <w:vAlign w:val="center"/>
          </w:tcPr>
          <w:p>
            <w:pPr>
              <w:ind w:firstLine="0" w:firstLineChars="0"/>
              <w:jc w:val="center"/>
              <w:rPr>
                <w:rFonts w:cs="Times New Roman"/>
                <w:kern w:val="0"/>
                <w:sz w:val="18"/>
                <w:szCs w:val="18"/>
              </w:rPr>
            </w:pPr>
          </w:p>
        </w:tc>
        <w:tc>
          <w:tcPr>
            <w:tcW w:w="614" w:type="pct"/>
            <w:vAlign w:val="center"/>
          </w:tcPr>
          <w:p>
            <w:pPr>
              <w:ind w:firstLine="0" w:firstLineChars="0"/>
              <w:jc w:val="center"/>
              <w:rPr>
                <w:rFonts w:cs="Times New Roman"/>
                <w:sz w:val="18"/>
                <w:szCs w:val="18"/>
              </w:rPr>
            </w:pPr>
            <w:r>
              <w:rPr>
                <w:rFonts w:cs="Times New Roman"/>
                <w:kern w:val="0"/>
                <w:sz w:val="18"/>
                <w:szCs w:val="18"/>
              </w:rPr>
              <w:t>2 ~4遍，160μm</w:t>
            </w: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kern w:val="0"/>
                <w:sz w:val="18"/>
                <w:szCs w:val="18"/>
              </w:rPr>
            </w:pPr>
          </w:p>
        </w:tc>
        <w:tc>
          <w:tcPr>
            <w:tcW w:w="708" w:type="pct"/>
            <w:vAlign w:val="center"/>
          </w:tcPr>
          <w:p>
            <w:pPr>
              <w:ind w:firstLine="0" w:firstLineChars="0"/>
              <w:jc w:val="center"/>
              <w:rPr>
                <w:rFonts w:cs="Times New Roman"/>
                <w:kern w:val="0"/>
                <w:sz w:val="18"/>
                <w:szCs w:val="18"/>
              </w:rPr>
            </w:pPr>
            <w:r>
              <w:rPr>
                <w:rFonts w:cs="Times New Roman"/>
                <w:kern w:val="0"/>
                <w:sz w:val="18"/>
                <w:szCs w:val="18"/>
              </w:rPr>
              <w:t>环氧云铁中间漆+氯化橡胶漆</w:t>
            </w:r>
          </w:p>
        </w:tc>
        <w:tc>
          <w:tcPr>
            <w:tcW w:w="614" w:type="pct"/>
            <w:vAlign w:val="center"/>
          </w:tcPr>
          <w:p>
            <w:pPr>
              <w:ind w:firstLine="0" w:firstLineChars="0"/>
              <w:jc w:val="center"/>
              <w:rPr>
                <w:rFonts w:cs="Times New Roman"/>
                <w:sz w:val="18"/>
                <w:szCs w:val="18"/>
              </w:rPr>
            </w:pPr>
            <w:r>
              <w:rPr>
                <w:rFonts w:cs="Times New Roman"/>
                <w:kern w:val="0"/>
                <w:sz w:val="18"/>
                <w:szCs w:val="18"/>
              </w:rPr>
              <w:t>3 ~5遍，200μm</w:t>
            </w: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ind w:firstLine="0" w:firstLineChars="0"/>
              <w:jc w:val="center"/>
              <w:rPr>
                <w:rFonts w:cs="Times New Roman"/>
                <w:sz w:val="18"/>
                <w:szCs w:val="18"/>
              </w:rPr>
            </w:pPr>
          </w:p>
        </w:tc>
        <w:tc>
          <w:tcPr>
            <w:tcW w:w="826" w:type="pct"/>
            <w:vAlign w:val="center"/>
          </w:tcPr>
          <w:p>
            <w:pPr>
              <w:ind w:firstLine="0" w:firstLineChars="0"/>
              <w:jc w:val="center"/>
              <w:rPr>
                <w:rFonts w:cs="Times New Roman"/>
                <w:sz w:val="18"/>
                <w:szCs w:val="18"/>
              </w:rPr>
            </w:pPr>
            <w:r>
              <w:rPr>
                <w:rFonts w:cs="Times New Roman"/>
                <w:kern w:val="0"/>
                <w:sz w:val="18"/>
                <w:szCs w:val="18"/>
              </w:rPr>
              <w:t>聚氨酯（富锌）底漆1遍，60μm</w:t>
            </w:r>
          </w:p>
        </w:tc>
        <w:tc>
          <w:tcPr>
            <w:tcW w:w="708" w:type="pct"/>
            <w:vAlign w:val="center"/>
          </w:tcPr>
          <w:p>
            <w:pPr>
              <w:ind w:firstLine="0" w:firstLineChars="0"/>
              <w:jc w:val="center"/>
              <w:rPr>
                <w:rFonts w:cs="Times New Roman"/>
                <w:sz w:val="18"/>
                <w:szCs w:val="18"/>
              </w:rPr>
            </w:pPr>
            <w:r>
              <w:rPr>
                <w:rFonts w:cs="Times New Roman"/>
                <w:kern w:val="0"/>
                <w:sz w:val="18"/>
                <w:szCs w:val="18"/>
              </w:rPr>
              <w:t>聚氨酯磁漆+聚氨酯清漆</w:t>
            </w:r>
          </w:p>
        </w:tc>
        <w:tc>
          <w:tcPr>
            <w:tcW w:w="614" w:type="pct"/>
            <w:vAlign w:val="center"/>
          </w:tcPr>
          <w:p>
            <w:pPr>
              <w:ind w:firstLine="0" w:firstLineChars="0"/>
              <w:jc w:val="center"/>
              <w:rPr>
                <w:rFonts w:cs="Times New Roman"/>
                <w:sz w:val="18"/>
                <w:szCs w:val="18"/>
              </w:rPr>
            </w:pPr>
            <w:r>
              <w:rPr>
                <w:rFonts w:cs="Times New Roman"/>
                <w:kern w:val="0"/>
                <w:sz w:val="18"/>
                <w:szCs w:val="18"/>
              </w:rPr>
              <w:t>2 ~3遍，160μm</w:t>
            </w:r>
          </w:p>
        </w:tc>
        <w:tc>
          <w:tcPr>
            <w:tcW w:w="123"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ind w:firstLine="0" w:firstLineChars="0"/>
              <w:jc w:val="center"/>
              <w:rPr>
                <w:rFonts w:cs="Times New Roman"/>
                <w:sz w:val="18"/>
                <w:szCs w:val="18"/>
              </w:rPr>
            </w:pPr>
          </w:p>
        </w:tc>
        <w:tc>
          <w:tcPr>
            <w:tcW w:w="826" w:type="pct"/>
            <w:vAlign w:val="center"/>
          </w:tcPr>
          <w:p>
            <w:pPr>
              <w:ind w:firstLine="0" w:firstLineChars="0"/>
              <w:jc w:val="center"/>
              <w:rPr>
                <w:rFonts w:cs="Times New Roman"/>
                <w:kern w:val="0"/>
                <w:sz w:val="18"/>
                <w:szCs w:val="18"/>
              </w:rPr>
            </w:pPr>
            <w:r>
              <w:rPr>
                <w:rFonts w:cs="Times New Roman"/>
                <w:kern w:val="0"/>
                <w:sz w:val="18"/>
                <w:szCs w:val="18"/>
              </w:rPr>
              <w:t>环氧富锌底漆1遍，60μm</w:t>
            </w:r>
          </w:p>
        </w:tc>
        <w:tc>
          <w:tcPr>
            <w:tcW w:w="708" w:type="pct"/>
            <w:vAlign w:val="center"/>
          </w:tcPr>
          <w:p>
            <w:pPr>
              <w:ind w:firstLine="0" w:firstLineChars="0"/>
              <w:jc w:val="center"/>
              <w:rPr>
                <w:rFonts w:cs="Times New Roman"/>
                <w:kern w:val="0"/>
                <w:sz w:val="18"/>
                <w:szCs w:val="18"/>
              </w:rPr>
            </w:pPr>
            <w:r>
              <w:rPr>
                <w:rFonts w:cs="Times New Roman"/>
                <w:kern w:val="0"/>
                <w:sz w:val="18"/>
                <w:szCs w:val="18"/>
              </w:rPr>
              <w:t>环氧云铁中间漆+氯化橡胶漆</w:t>
            </w:r>
          </w:p>
        </w:tc>
        <w:tc>
          <w:tcPr>
            <w:tcW w:w="614" w:type="pct"/>
            <w:vAlign w:val="center"/>
          </w:tcPr>
          <w:p>
            <w:pPr>
              <w:ind w:firstLine="0" w:firstLineChars="0"/>
              <w:jc w:val="center"/>
              <w:rPr>
                <w:rFonts w:cs="Times New Roman"/>
                <w:kern w:val="0"/>
                <w:sz w:val="18"/>
                <w:szCs w:val="18"/>
              </w:rPr>
            </w:pPr>
            <w:r>
              <w:rPr>
                <w:rFonts w:cs="Times New Roman"/>
                <w:kern w:val="0"/>
                <w:sz w:val="18"/>
                <w:szCs w:val="18"/>
              </w:rPr>
              <w:t>1~2遍，80μm</w:t>
            </w:r>
          </w:p>
        </w:tc>
        <w:tc>
          <w:tcPr>
            <w:tcW w:w="123"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vMerge w:val="restart"/>
            <w:vAlign w:val="center"/>
          </w:tcPr>
          <w:p>
            <w:pPr>
              <w:ind w:firstLine="0" w:firstLineChars="0"/>
              <w:jc w:val="center"/>
              <w:rPr>
                <w:rFonts w:cs="Times New Roman"/>
                <w:sz w:val="18"/>
                <w:szCs w:val="18"/>
              </w:rPr>
            </w:pPr>
          </w:p>
        </w:tc>
        <w:tc>
          <w:tcPr>
            <w:tcW w:w="826" w:type="pct"/>
            <w:vMerge w:val="restart"/>
            <w:vAlign w:val="center"/>
          </w:tcPr>
          <w:p>
            <w:pPr>
              <w:ind w:firstLine="0" w:firstLineChars="0"/>
              <w:jc w:val="center"/>
              <w:rPr>
                <w:rFonts w:cs="Times New Roman"/>
                <w:kern w:val="0"/>
                <w:sz w:val="18"/>
                <w:szCs w:val="18"/>
              </w:rPr>
            </w:pPr>
            <w:r>
              <w:rPr>
                <w:rFonts w:cs="Times New Roman"/>
                <w:kern w:val="0"/>
                <w:sz w:val="18"/>
                <w:szCs w:val="18"/>
              </w:rPr>
              <w:t>环氧富锌底漆1遍，60μm</w:t>
            </w:r>
          </w:p>
          <w:p>
            <w:pPr>
              <w:ind w:firstLine="0" w:firstLineChars="0"/>
              <w:jc w:val="center"/>
              <w:rPr>
                <w:rFonts w:cs="Times New Roman"/>
                <w:sz w:val="18"/>
                <w:szCs w:val="18"/>
              </w:rPr>
            </w:pPr>
            <w:r>
              <w:rPr>
                <w:rFonts w:cs="Times New Roman"/>
                <w:kern w:val="0"/>
                <w:sz w:val="18"/>
                <w:szCs w:val="18"/>
              </w:rPr>
              <w:t>无机富锌底漆1遍，60μm+</w:t>
            </w:r>
          </w:p>
        </w:tc>
        <w:tc>
          <w:tcPr>
            <w:tcW w:w="708" w:type="pct"/>
            <w:vMerge w:val="restart"/>
            <w:vAlign w:val="center"/>
          </w:tcPr>
          <w:p>
            <w:pPr>
              <w:ind w:firstLine="0" w:firstLineChars="0"/>
              <w:jc w:val="center"/>
              <w:rPr>
                <w:rFonts w:cs="Times New Roman"/>
                <w:kern w:val="0"/>
                <w:sz w:val="18"/>
                <w:szCs w:val="18"/>
              </w:rPr>
            </w:pPr>
            <w:r>
              <w:rPr>
                <w:rFonts w:cs="Times New Roman"/>
                <w:kern w:val="0"/>
                <w:sz w:val="18"/>
                <w:szCs w:val="18"/>
              </w:rPr>
              <w:t>环氧云铁中间漆+氯化橡胶面漆</w:t>
            </w:r>
          </w:p>
          <w:p>
            <w:pPr>
              <w:ind w:firstLine="0" w:firstLineChars="0"/>
              <w:jc w:val="center"/>
              <w:rPr>
                <w:rFonts w:cs="Times New Roman"/>
                <w:sz w:val="18"/>
                <w:szCs w:val="18"/>
              </w:rPr>
            </w:pPr>
            <w:r>
              <w:rPr>
                <w:rFonts w:cs="Times New Roman"/>
                <w:kern w:val="0"/>
                <w:sz w:val="18"/>
                <w:szCs w:val="18"/>
              </w:rPr>
              <w:t>环氧云铁中间漆+脂肪族聚氨酯面漆</w:t>
            </w:r>
          </w:p>
        </w:tc>
        <w:tc>
          <w:tcPr>
            <w:tcW w:w="614" w:type="pct"/>
            <w:vAlign w:val="center"/>
          </w:tcPr>
          <w:p>
            <w:pPr>
              <w:ind w:firstLine="0" w:firstLineChars="0"/>
              <w:jc w:val="center"/>
              <w:rPr>
                <w:rFonts w:cs="Times New Roman"/>
                <w:sz w:val="18"/>
                <w:szCs w:val="18"/>
              </w:rPr>
            </w:pPr>
            <w:r>
              <w:rPr>
                <w:rFonts w:cs="Times New Roman"/>
                <w:kern w:val="0"/>
                <w:sz w:val="18"/>
                <w:szCs w:val="18"/>
              </w:rPr>
              <w:t>2 ~3遍，160μm</w:t>
            </w:r>
          </w:p>
        </w:tc>
        <w:tc>
          <w:tcPr>
            <w:tcW w:w="123" w:type="pct"/>
            <w:vMerge w:val="restar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r>
              <w:rPr>
                <w:rFonts w:cs="Times New Roman"/>
                <w:sz w:val="18"/>
                <w:szCs w:val="18"/>
              </w:rPr>
              <w:t>√</w:t>
            </w: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kern w:val="0"/>
                <w:sz w:val="18"/>
                <w:szCs w:val="18"/>
              </w:rPr>
            </w:pPr>
          </w:p>
        </w:tc>
        <w:tc>
          <w:tcPr>
            <w:tcW w:w="708" w:type="pct"/>
            <w:vMerge w:val="continue"/>
            <w:vAlign w:val="center"/>
          </w:tcPr>
          <w:p>
            <w:pPr>
              <w:ind w:firstLine="0" w:firstLineChars="0"/>
              <w:jc w:val="center"/>
              <w:rPr>
                <w:rFonts w:cs="Times New Roman"/>
                <w:kern w:val="0"/>
                <w:sz w:val="18"/>
                <w:szCs w:val="18"/>
              </w:rPr>
            </w:pPr>
          </w:p>
        </w:tc>
        <w:tc>
          <w:tcPr>
            <w:tcW w:w="614" w:type="pct"/>
            <w:vAlign w:val="center"/>
          </w:tcPr>
          <w:p>
            <w:pPr>
              <w:ind w:firstLine="0" w:firstLineChars="0"/>
              <w:jc w:val="center"/>
              <w:rPr>
                <w:rFonts w:cs="Times New Roman"/>
                <w:kern w:val="0"/>
                <w:sz w:val="18"/>
                <w:szCs w:val="18"/>
              </w:rPr>
            </w:pPr>
            <w:r>
              <w:rPr>
                <w:rFonts w:cs="Times New Roman"/>
                <w:kern w:val="0"/>
                <w:sz w:val="18"/>
                <w:szCs w:val="18"/>
              </w:rPr>
              <w:t>3遍，200μm</w:t>
            </w: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kern w:val="0"/>
                <w:sz w:val="18"/>
                <w:szCs w:val="18"/>
              </w:rPr>
            </w:pPr>
          </w:p>
        </w:tc>
        <w:tc>
          <w:tcPr>
            <w:tcW w:w="708" w:type="pct"/>
            <w:vMerge w:val="continue"/>
            <w:vAlign w:val="center"/>
          </w:tcPr>
          <w:p>
            <w:pPr>
              <w:ind w:firstLine="0" w:firstLineChars="0"/>
              <w:jc w:val="center"/>
              <w:rPr>
                <w:rFonts w:cs="Times New Roman"/>
                <w:kern w:val="0"/>
                <w:sz w:val="18"/>
                <w:szCs w:val="18"/>
              </w:rPr>
            </w:pPr>
          </w:p>
        </w:tc>
        <w:tc>
          <w:tcPr>
            <w:tcW w:w="614" w:type="pct"/>
            <w:vAlign w:val="center"/>
          </w:tcPr>
          <w:p>
            <w:pPr>
              <w:ind w:firstLine="0" w:firstLineChars="0"/>
              <w:jc w:val="center"/>
              <w:rPr>
                <w:rFonts w:cs="Times New Roman"/>
                <w:kern w:val="0"/>
                <w:sz w:val="18"/>
                <w:szCs w:val="18"/>
              </w:rPr>
            </w:pPr>
            <w:r>
              <w:rPr>
                <w:rFonts w:cs="Times New Roman"/>
                <w:kern w:val="0"/>
                <w:sz w:val="18"/>
                <w:szCs w:val="18"/>
              </w:rPr>
              <w:t>3 ~4遍，240μm</w:t>
            </w: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restart"/>
            <w:vAlign w:val="center"/>
          </w:tcPr>
          <w:p>
            <w:pPr>
              <w:ind w:firstLine="0" w:firstLineChars="0"/>
              <w:rPr>
                <w:rFonts w:cs="Times New Roman"/>
                <w:sz w:val="18"/>
                <w:szCs w:val="18"/>
              </w:rPr>
            </w:pPr>
          </w:p>
        </w:tc>
        <w:tc>
          <w:tcPr>
            <w:tcW w:w="826" w:type="pct"/>
            <w:vMerge w:val="restart"/>
            <w:vAlign w:val="center"/>
          </w:tcPr>
          <w:p>
            <w:pPr>
              <w:ind w:firstLine="0" w:firstLineChars="0"/>
              <w:jc w:val="center"/>
              <w:rPr>
                <w:rFonts w:cs="Times New Roman"/>
                <w:sz w:val="18"/>
                <w:szCs w:val="18"/>
              </w:rPr>
            </w:pPr>
            <w:r>
              <w:rPr>
                <w:rFonts w:cs="Times New Roman"/>
                <w:kern w:val="0"/>
                <w:sz w:val="18"/>
                <w:szCs w:val="18"/>
              </w:rPr>
              <w:t>无机富锌底漆1遍，60μm</w:t>
            </w:r>
          </w:p>
        </w:tc>
        <w:tc>
          <w:tcPr>
            <w:tcW w:w="708" w:type="pct"/>
            <w:vMerge w:val="restart"/>
            <w:vAlign w:val="center"/>
          </w:tcPr>
          <w:p>
            <w:pPr>
              <w:ind w:firstLine="0" w:firstLineChars="0"/>
              <w:jc w:val="center"/>
              <w:rPr>
                <w:rFonts w:cs="Times New Roman"/>
                <w:sz w:val="18"/>
                <w:szCs w:val="18"/>
              </w:rPr>
            </w:pPr>
            <w:r>
              <w:rPr>
                <w:rFonts w:cs="Times New Roman"/>
                <w:kern w:val="0"/>
                <w:sz w:val="18"/>
                <w:szCs w:val="18"/>
              </w:rPr>
              <w:t>环氧云铁中间漆+脂肪族聚氨酯面漆</w:t>
            </w:r>
          </w:p>
        </w:tc>
        <w:tc>
          <w:tcPr>
            <w:tcW w:w="614" w:type="pct"/>
            <w:vAlign w:val="center"/>
          </w:tcPr>
          <w:p>
            <w:pPr>
              <w:ind w:firstLine="0" w:firstLineChars="0"/>
              <w:jc w:val="center"/>
              <w:rPr>
                <w:rFonts w:cs="Times New Roman"/>
                <w:sz w:val="18"/>
                <w:szCs w:val="18"/>
              </w:rPr>
            </w:pPr>
            <w:r>
              <w:rPr>
                <w:rFonts w:cs="Times New Roman"/>
                <w:kern w:val="0"/>
                <w:sz w:val="18"/>
                <w:szCs w:val="18"/>
              </w:rPr>
              <w:t>4遍，240μm</w:t>
            </w:r>
          </w:p>
        </w:tc>
        <w:tc>
          <w:tcPr>
            <w:tcW w:w="123" w:type="pct"/>
            <w:vMerge w:val="restar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r>
              <w:rPr>
                <w:rFonts w:cs="Times New Roman"/>
                <w:sz w:val="18"/>
                <w:szCs w:val="18"/>
              </w:rPr>
              <w:t>√</w:t>
            </w: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r>
              <w:rPr>
                <w:rFonts w:cs="Times New Roman"/>
                <w:sz w:val="18"/>
                <w:szCs w:val="18"/>
              </w:rPr>
              <w:t>√</w:t>
            </w:r>
          </w:p>
        </w:tc>
        <w:tc>
          <w:tcPr>
            <w:tcW w:w="202" w:type="pct"/>
            <w:vAlign w:val="center"/>
          </w:tcPr>
          <w:p>
            <w:pPr>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vMerge w:val="continue"/>
            <w:vAlign w:val="center"/>
          </w:tcPr>
          <w:p>
            <w:pPr>
              <w:ind w:firstLine="0" w:firstLineChars="0"/>
              <w:jc w:val="center"/>
              <w:rPr>
                <w:rFonts w:cs="Times New Roman"/>
                <w:sz w:val="18"/>
                <w:szCs w:val="18"/>
              </w:rPr>
            </w:pPr>
          </w:p>
        </w:tc>
        <w:tc>
          <w:tcPr>
            <w:tcW w:w="826" w:type="pct"/>
            <w:vMerge w:val="continue"/>
            <w:vAlign w:val="center"/>
          </w:tcPr>
          <w:p>
            <w:pPr>
              <w:ind w:firstLine="0" w:firstLineChars="0"/>
              <w:jc w:val="center"/>
              <w:rPr>
                <w:rFonts w:cs="Times New Roman"/>
                <w:kern w:val="0"/>
                <w:sz w:val="18"/>
                <w:szCs w:val="18"/>
              </w:rPr>
            </w:pPr>
          </w:p>
        </w:tc>
        <w:tc>
          <w:tcPr>
            <w:tcW w:w="708" w:type="pct"/>
            <w:vMerge w:val="continue"/>
            <w:vAlign w:val="center"/>
          </w:tcPr>
          <w:p>
            <w:pPr>
              <w:ind w:firstLine="0" w:firstLineChars="0"/>
              <w:jc w:val="center"/>
              <w:rPr>
                <w:rFonts w:cs="Times New Roman"/>
                <w:kern w:val="0"/>
                <w:sz w:val="18"/>
                <w:szCs w:val="18"/>
              </w:rPr>
            </w:pPr>
          </w:p>
        </w:tc>
        <w:tc>
          <w:tcPr>
            <w:tcW w:w="614" w:type="pct"/>
            <w:vAlign w:val="center"/>
          </w:tcPr>
          <w:p>
            <w:pPr>
              <w:ind w:firstLine="0" w:firstLineChars="0"/>
              <w:jc w:val="center"/>
              <w:rPr>
                <w:rFonts w:cs="Times New Roman"/>
                <w:sz w:val="18"/>
                <w:szCs w:val="18"/>
              </w:rPr>
            </w:pPr>
            <w:r>
              <w:rPr>
                <w:rFonts w:cs="Times New Roman"/>
                <w:kern w:val="0"/>
                <w:sz w:val="18"/>
                <w:szCs w:val="18"/>
              </w:rPr>
              <w:t>4 ~5遍，320μm</w:t>
            </w:r>
          </w:p>
        </w:tc>
        <w:tc>
          <w:tcPr>
            <w:tcW w:w="123" w:type="pct"/>
            <w:vMerge w:val="continue"/>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4" w:type="pct"/>
            <w:vAlign w:val="center"/>
          </w:tcPr>
          <w:p>
            <w:pPr>
              <w:ind w:firstLine="0" w:firstLineChars="0"/>
              <w:jc w:val="center"/>
              <w:rPr>
                <w:rFonts w:cs="Times New Roman"/>
                <w:sz w:val="18"/>
                <w:szCs w:val="18"/>
              </w:rPr>
            </w:pPr>
          </w:p>
        </w:tc>
        <w:tc>
          <w:tcPr>
            <w:tcW w:w="190" w:type="pct"/>
            <w:vAlign w:val="center"/>
          </w:tcPr>
          <w:p>
            <w:pPr>
              <w:ind w:firstLine="0" w:firstLineChars="0"/>
              <w:jc w:val="center"/>
              <w:rPr>
                <w:rFonts w:cs="Times New Roman"/>
                <w:sz w:val="18"/>
                <w:szCs w:val="18"/>
              </w:rPr>
            </w:pPr>
          </w:p>
        </w:tc>
        <w:tc>
          <w:tcPr>
            <w:tcW w:w="222" w:type="pct"/>
            <w:vAlign w:val="center"/>
          </w:tcPr>
          <w:p>
            <w:pPr>
              <w:ind w:firstLine="0" w:firstLineChars="0"/>
              <w:jc w:val="center"/>
              <w:rPr>
                <w:rFonts w:cs="Times New Roman"/>
                <w:sz w:val="18"/>
                <w:szCs w:val="18"/>
              </w:rPr>
            </w:pPr>
          </w:p>
        </w:tc>
        <w:tc>
          <w:tcPr>
            <w:tcW w:w="202" w:type="pct"/>
            <w:vAlign w:val="center"/>
          </w:tcPr>
          <w:p>
            <w:pPr>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 w:type="pct"/>
            <w:gridSpan w:val="17"/>
            <w:vAlign w:val="center"/>
          </w:tcPr>
          <w:p>
            <w:pPr>
              <w:spacing w:line="240" w:lineRule="auto"/>
              <w:ind w:firstLine="0" w:firstLineChars="0"/>
              <w:jc w:val="left"/>
              <w:rPr>
                <w:rFonts w:cs="Times New Roman"/>
                <w:sz w:val="18"/>
                <w:szCs w:val="18"/>
              </w:rPr>
            </w:pPr>
            <w:r>
              <w:rPr>
                <w:rFonts w:cs="Times New Roman"/>
                <w:sz w:val="18"/>
                <w:szCs w:val="18"/>
              </w:rPr>
              <w:t>注：1</w:t>
            </w:r>
            <w:r>
              <w:rPr>
                <w:rFonts w:cs="Times New Roman"/>
                <w:color w:val="000000"/>
                <w:sz w:val="18"/>
                <w:szCs w:val="18"/>
              </w:rPr>
              <w:t>、</w:t>
            </w:r>
            <w:r>
              <w:rPr>
                <w:rFonts w:cs="Times New Roman"/>
                <w:sz w:val="18"/>
                <w:szCs w:val="18"/>
              </w:rPr>
              <w:t>L为2~5年，M为5~10 年、10~15年，H为大于15年。</w:t>
            </w:r>
          </w:p>
        </w:tc>
      </w:tr>
    </w:tbl>
    <w:p>
      <w:pPr>
        <w:widowControl/>
        <w:adjustRightInd/>
        <w:snapToGrid/>
        <w:spacing w:line="240" w:lineRule="auto"/>
        <w:ind w:firstLine="0" w:firstLineChars="0"/>
        <w:jc w:val="left"/>
      </w:pPr>
      <w:r>
        <w:br w:type="page"/>
      </w:r>
    </w:p>
    <w:p>
      <w:pPr>
        <w:pStyle w:val="121"/>
        <w:numPr>
          <w:ilvl w:val="0"/>
          <w:numId w:val="0"/>
        </w:numPr>
        <w:spacing w:before="60" w:after="120"/>
      </w:pPr>
      <w:bookmarkStart w:id="267" w:name="_Toc186641534"/>
      <w:r>
        <w:rPr>
          <w:rFonts w:ascii="Times New Roman"/>
        </w:rPr>
        <w:t>附录D</w:t>
      </w:r>
      <w:r>
        <w:br w:type="textWrapping"/>
      </w:r>
      <w:bookmarkStart w:id="268" w:name="_Toc151390325"/>
      <w:bookmarkStart w:id="269" w:name="_Toc151390230"/>
      <w:bookmarkStart w:id="270" w:name="_Toc151389568"/>
      <w:r>
        <w:rPr>
          <w:rFonts w:hint="eastAsia"/>
        </w:rPr>
        <w:t>（资料性）</w:t>
      </w:r>
      <w:r>
        <w:br w:type="textWrapping"/>
      </w:r>
      <w:r>
        <w:rPr>
          <w:rFonts w:hint="eastAsia"/>
        </w:rPr>
        <w:t>湖北省地方标准实施信息及意见反馈表</w:t>
      </w:r>
      <w:bookmarkEnd w:id="267"/>
      <w:bookmarkEnd w:id="268"/>
      <w:bookmarkEnd w:id="269"/>
      <w:bookmarkEnd w:id="270"/>
    </w:p>
    <w:p>
      <w:pPr>
        <w:pStyle w:val="63"/>
        <w:ind w:firstLine="420"/>
      </w:pPr>
      <w:r>
        <w:rPr>
          <w:rFonts w:hint="eastAsia"/>
        </w:rPr>
        <w:t>湖北省地方标准实施信息及意见反馈表如表</w:t>
      </w:r>
      <w:r>
        <w:t>D</w:t>
      </w:r>
      <w:r>
        <w:rPr>
          <w:rFonts w:hint="eastAsia"/>
        </w:rPr>
        <w:t>.1所示。</w:t>
      </w:r>
    </w:p>
    <w:p>
      <w:pPr>
        <w:pStyle w:val="122"/>
        <w:numPr>
          <w:ilvl w:val="0"/>
          <w:numId w:val="0"/>
        </w:numPr>
        <w:spacing w:before="120" w:after="120"/>
        <w:ind w:left="420"/>
      </w:pPr>
      <w:r>
        <w:rPr>
          <w:rFonts w:hint="eastAsia"/>
        </w:rPr>
        <w:t>表</w:t>
      </w:r>
      <w:r>
        <w:t>D</w:t>
      </w:r>
      <w:r>
        <w:rPr>
          <w:rFonts w:hint="eastAsia"/>
        </w:rPr>
        <w:t>.1湖北省地方标准实施信息及意见反馈表</w:t>
      </w:r>
    </w:p>
    <w:tbl>
      <w:tblPr>
        <w:tblStyle w:val="33"/>
        <w:tblW w:w="9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823"/>
        <w:gridCol w:w="338"/>
        <w:gridCol w:w="2192"/>
        <w:gridCol w:w="3109"/>
        <w:gridCol w:w="13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034" w:type="dxa"/>
            <w:gridSpan w:val="2"/>
            <w:tcBorders>
              <w:top w:val="single" w:color="auto" w:sz="12" w:space="0"/>
              <w:left w:val="single" w:color="auto" w:sz="12" w:space="0"/>
              <w:bottom w:val="single" w:color="000000" w:sz="2" w:space="0"/>
              <w:right w:val="single" w:color="auto" w:sz="4" w:space="0"/>
            </w:tcBorders>
            <w:vAlign w:val="center"/>
          </w:tcPr>
          <w:p>
            <w:pPr>
              <w:widowControl/>
              <w:kinsoku w:val="0"/>
              <w:autoSpaceDE w:val="0"/>
              <w:autoSpaceDN w:val="0"/>
              <w:spacing w:line="400" w:lineRule="exact"/>
              <w:ind w:left="115"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9"/>
                <w:kern w:val="0"/>
                <w:sz w:val="18"/>
                <w:szCs w:val="18"/>
              </w:rPr>
              <w:t>标准名称及编号</w:t>
            </w:r>
          </w:p>
        </w:tc>
        <w:tc>
          <w:tcPr>
            <w:tcW w:w="7023" w:type="dxa"/>
            <w:gridSpan w:val="4"/>
            <w:tcBorders>
              <w:top w:val="single" w:color="auto" w:sz="12" w:space="0"/>
              <w:left w:val="single" w:color="auto" w:sz="4" w:space="0"/>
              <w:bottom w:val="single" w:color="000000" w:sz="2" w:space="0"/>
              <w:right w:val="single" w:color="auto" w:sz="12" w:space="0"/>
            </w:tcBorders>
            <w:vAlign w:val="center"/>
          </w:tcPr>
          <w:p>
            <w:pPr>
              <w:snapToGrid/>
              <w:spacing w:line="400" w:lineRule="exact"/>
              <w:ind w:firstLine="0" w:firstLineChars="0"/>
              <w:jc w:val="center"/>
              <w:rPr>
                <w:rFonts w:ascii="宋体" w:hAnsi="宋体" w:cs="Arial"/>
                <w:kern w:val="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jc w:val="center"/>
        </w:trPr>
        <w:tc>
          <w:tcPr>
            <w:tcW w:w="1211" w:type="dxa"/>
            <w:vMerge w:val="restart"/>
            <w:tcBorders>
              <w:top w:val="single" w:color="auto" w:sz="12" w:space="0"/>
              <w:left w:val="single" w:color="auto" w:sz="12" w:space="0"/>
              <w:bottom w:val="single" w:color="auto" w:sz="4" w:space="0"/>
              <w:right w:val="single" w:color="auto" w:sz="4" w:space="0"/>
            </w:tcBorders>
            <w:vAlign w:val="center"/>
          </w:tcPr>
          <w:p>
            <w:pPr>
              <w:widowControl/>
              <w:kinsoku w:val="0"/>
              <w:autoSpaceDE w:val="0"/>
              <w:autoSpaceDN w:val="0"/>
              <w:spacing w:line="400" w:lineRule="exact"/>
              <w:ind w:left="147"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3"/>
                <w:kern w:val="0"/>
                <w:sz w:val="18"/>
                <w:szCs w:val="18"/>
              </w:rPr>
              <w:t>总体评价</w:t>
            </w:r>
          </w:p>
        </w:tc>
        <w:tc>
          <w:tcPr>
            <w:tcW w:w="1161" w:type="dxa"/>
            <w:gridSpan w:val="2"/>
            <w:tcBorders>
              <w:top w:val="single" w:color="auto" w:sz="12"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229"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5"/>
                <w:kern w:val="0"/>
                <w:sz w:val="18"/>
                <w:szCs w:val="18"/>
              </w:rPr>
              <w:t>适用性</w:t>
            </w:r>
          </w:p>
        </w:tc>
        <w:tc>
          <w:tcPr>
            <w:tcW w:w="5301" w:type="dxa"/>
            <w:gridSpan w:val="2"/>
            <w:tcBorders>
              <w:top w:val="single" w:color="auto" w:sz="12"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116" w:right="103"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11"/>
                <w:kern w:val="0"/>
                <w:sz w:val="18"/>
                <w:szCs w:val="18"/>
              </w:rPr>
              <w:t>该标准与当前所在地的产业或社会发展水平是否相匹配？</w:t>
            </w:r>
          </w:p>
        </w:tc>
        <w:tc>
          <w:tcPr>
            <w:tcW w:w="1384" w:type="dxa"/>
            <w:tcBorders>
              <w:top w:val="single" w:color="auto" w:sz="12" w:space="0"/>
              <w:left w:val="single" w:color="auto" w:sz="4" w:space="0"/>
              <w:bottom w:val="single" w:color="auto" w:sz="4" w:space="0"/>
              <w:right w:val="single" w:color="auto" w:sz="12" w:space="0"/>
            </w:tcBorders>
            <w:vAlign w:val="center"/>
          </w:tcPr>
          <w:p>
            <w:pPr>
              <w:widowControl/>
              <w:kinsoku w:val="0"/>
              <w:autoSpaceDE w:val="0"/>
              <w:autoSpaceDN w:val="0"/>
              <w:spacing w:line="400" w:lineRule="exact"/>
              <w:ind w:left="127"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104" name="图片 104" descr="C:\Users\ADMINI~1.USE\AppData\Local\Temp\ksohtml11916\wps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04" descr="C:\Users\ADMINI~1.USE\AppData\Local\Temp\ksohtml11916\wps1.png"/>
                          <pic:cNvPicPr>
                            <a:picLocks noChangeAspect="true" noChangeArrowheads="true"/>
                          </pic:cNvPicPr>
                        </pic:nvPicPr>
                        <pic:blipFill>
                          <a:blip r:embed="rId355">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 xml:space="preserve">是  </w:t>
            </w:r>
            <w:r>
              <w:rPr>
                <w:rFonts w:ascii="宋体" w:hAnsi="宋体" w:eastAsia="Times New Roman" w:cs="Times New Roman"/>
                <w:color w:val="000000"/>
                <w:kern w:val="0"/>
                <w:sz w:val="18"/>
                <w:szCs w:val="18"/>
              </w:rPr>
              <w:drawing>
                <wp:inline distT="0" distB="0" distL="0" distR="0">
                  <wp:extent cx="111125" cy="111125"/>
                  <wp:effectExtent l="0" t="0" r="3175" b="3175"/>
                  <wp:docPr id="103" name="图片 103" descr="C:\Users\ADMINI~1.USE\AppData\Local\Temp\ksohtml11916\wps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descr="C:\Users\ADMINI~1.USE\AppData\Local\Temp\ksohtml11916\wps2.png"/>
                          <pic:cNvPicPr>
                            <a:picLocks noChangeAspect="true" noChangeArrowheads="true"/>
                          </pic:cNvPicPr>
                        </pic:nvPicPr>
                        <pic:blipFill>
                          <a:blip r:embed="rId355">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snapToGrid/>
              <w:spacing w:line="400" w:lineRule="exact"/>
              <w:ind w:firstLine="0" w:firstLineChars="0"/>
              <w:jc w:val="left"/>
              <w:rPr>
                <w:rFonts w:ascii="宋体" w:hAnsi="宋体" w:cs="Times New Roman"/>
                <w:color w:val="000000"/>
                <w:kern w:val="0"/>
                <w:sz w:val="18"/>
                <w:szCs w:val="18"/>
              </w:rPr>
            </w:pPr>
          </w:p>
        </w:tc>
        <w:tc>
          <w:tcPr>
            <w:tcW w:w="116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229"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5"/>
                <w:kern w:val="0"/>
                <w:sz w:val="18"/>
                <w:szCs w:val="18"/>
              </w:rPr>
              <w:t>协调性</w:t>
            </w:r>
          </w:p>
        </w:tc>
        <w:tc>
          <w:tcPr>
            <w:tcW w:w="530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116" w:right="103"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11"/>
                <w:kern w:val="0"/>
                <w:sz w:val="18"/>
                <w:szCs w:val="18"/>
              </w:rPr>
              <w:t>该标准的特色要求与其他强制性标准的主要技术指标、相关法律法规、部门规章或产业政策是否</w:t>
            </w:r>
            <w:r>
              <w:rPr>
                <w:rFonts w:hint="eastAsia" w:ascii="宋体" w:hAnsi="宋体" w:cs="Times New Roman"/>
                <w:color w:val="000000"/>
                <w:spacing w:val="2"/>
                <w:kern w:val="0"/>
                <w:sz w:val="18"/>
                <w:szCs w:val="18"/>
              </w:rPr>
              <w:t>协调？</w:t>
            </w:r>
          </w:p>
        </w:tc>
        <w:tc>
          <w:tcPr>
            <w:tcW w:w="1384" w:type="dxa"/>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pacing w:line="400" w:lineRule="exact"/>
              <w:ind w:left="127"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102" name="图片 102" descr="C:\Users\ADMINI~1.USE\AppData\Local\Temp\ksohtml11916\wps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descr="C:\Users\ADMINI~1.USE\AppData\Local\Temp\ksohtml11916\wps3.png"/>
                          <pic:cNvPicPr>
                            <a:picLocks noChangeAspect="true" noChangeArrowheads="true"/>
                          </pic:cNvPicPr>
                        </pic:nvPicPr>
                        <pic:blipFill>
                          <a:blip r:embed="rId356">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 xml:space="preserve">是  </w:t>
            </w:r>
            <w:r>
              <w:rPr>
                <w:rFonts w:ascii="宋体" w:hAnsi="宋体" w:eastAsia="Times New Roman" w:cs="Times New Roman"/>
                <w:color w:val="000000"/>
                <w:kern w:val="0"/>
                <w:sz w:val="18"/>
                <w:szCs w:val="18"/>
              </w:rPr>
              <w:drawing>
                <wp:inline distT="0" distB="0" distL="0" distR="0">
                  <wp:extent cx="111125" cy="111125"/>
                  <wp:effectExtent l="0" t="0" r="3175" b="3175"/>
                  <wp:docPr id="101" name="图片 101" descr="C:\Users\ADMINI~1.USE\AppData\Local\Temp\ksohtml11916\wps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descr="C:\Users\ADMINI~1.USE\AppData\Local\Temp\ksohtml11916\wps4.png"/>
                          <pic:cNvPicPr>
                            <a:picLocks noChangeAspect="true" noChangeArrowheads="true"/>
                          </pic:cNvPicPr>
                        </pic:nvPicPr>
                        <pic:blipFill>
                          <a:blip r:embed="rId356">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snapToGrid/>
              <w:spacing w:line="400" w:lineRule="exact"/>
              <w:ind w:firstLine="0" w:firstLineChars="0"/>
              <w:jc w:val="left"/>
              <w:rPr>
                <w:rFonts w:ascii="宋体" w:hAnsi="宋体" w:cs="Times New Roman"/>
                <w:color w:val="000000"/>
                <w:kern w:val="0"/>
                <w:sz w:val="18"/>
                <w:szCs w:val="18"/>
              </w:rPr>
            </w:pPr>
          </w:p>
        </w:tc>
        <w:tc>
          <w:tcPr>
            <w:tcW w:w="116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351"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2"/>
                <w:kern w:val="0"/>
                <w:position w:val="12"/>
                <w:sz w:val="18"/>
                <w:szCs w:val="18"/>
              </w:rPr>
              <w:t>执行</w:t>
            </w:r>
          </w:p>
          <w:p>
            <w:pPr>
              <w:widowControl/>
              <w:kinsoku w:val="0"/>
              <w:autoSpaceDE w:val="0"/>
              <w:autoSpaceDN w:val="0"/>
              <w:spacing w:line="400" w:lineRule="exact"/>
              <w:ind w:left="355"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kern w:val="0"/>
                <w:sz w:val="18"/>
                <w:szCs w:val="18"/>
              </w:rPr>
              <w:t>情况</w:t>
            </w:r>
          </w:p>
        </w:tc>
        <w:tc>
          <w:tcPr>
            <w:tcW w:w="530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116" w:right="103" w:firstLine="0" w:firstLineChars="0"/>
              <w:jc w:val="left"/>
              <w:textAlignment w:val="baseline"/>
              <w:rPr>
                <w:rFonts w:ascii="宋体" w:hAnsi="宋体" w:cs="Times New Roman"/>
                <w:color w:val="000000"/>
                <w:spacing w:val="11"/>
                <w:kern w:val="0"/>
                <w:sz w:val="18"/>
                <w:szCs w:val="18"/>
              </w:rPr>
            </w:pPr>
            <w:r>
              <w:rPr>
                <w:rFonts w:hint="eastAsia" w:ascii="宋体" w:hAnsi="宋体" w:cs="Times New Roman"/>
                <w:color w:val="000000"/>
                <w:spacing w:val="11"/>
                <w:kern w:val="0"/>
                <w:sz w:val="18"/>
                <w:szCs w:val="18"/>
              </w:rPr>
              <w:t>标准执行单位或人员是否按照标准要求组织开展</w:t>
            </w:r>
          </w:p>
          <w:p>
            <w:pPr>
              <w:widowControl/>
              <w:kinsoku w:val="0"/>
              <w:autoSpaceDE w:val="0"/>
              <w:autoSpaceDN w:val="0"/>
              <w:spacing w:line="400" w:lineRule="exact"/>
              <w:ind w:left="116" w:right="103"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11"/>
                <w:kern w:val="0"/>
                <w:sz w:val="18"/>
                <w:szCs w:val="18"/>
              </w:rPr>
              <w:t>相关工作？</w:t>
            </w:r>
          </w:p>
        </w:tc>
        <w:tc>
          <w:tcPr>
            <w:tcW w:w="1384" w:type="dxa"/>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pacing w:line="400" w:lineRule="exact"/>
              <w:ind w:left="127"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100" name="图片 100" descr="C:\Users\ADMINI~1.USE\AppData\Local\Temp\ksohtml11916\wps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descr="C:\Users\ADMINI~1.USE\AppData\Local\Temp\ksohtml11916\wps5.png"/>
                          <pic:cNvPicPr>
                            <a:picLocks noChangeAspect="true" noChangeArrowheads="true"/>
                          </pic:cNvPicPr>
                        </pic:nvPicPr>
                        <pic:blipFill>
                          <a:blip r:embed="rId355">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 xml:space="preserve">是  </w:t>
            </w:r>
            <w:r>
              <w:rPr>
                <w:rFonts w:ascii="宋体" w:hAnsi="宋体" w:eastAsia="Times New Roman" w:cs="Times New Roman"/>
                <w:color w:val="000000"/>
                <w:kern w:val="0"/>
                <w:sz w:val="18"/>
                <w:szCs w:val="18"/>
              </w:rPr>
              <w:drawing>
                <wp:inline distT="0" distB="0" distL="0" distR="0">
                  <wp:extent cx="111125" cy="111125"/>
                  <wp:effectExtent l="0" t="0" r="3175" b="3175"/>
                  <wp:docPr id="99" name="图片 99" descr="C:\Users\ADMINI~1.USE\AppData\Local\Temp\ksohtml11916\wps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descr="C:\Users\ADMINI~1.USE\AppData\Local\Temp\ksohtml11916\wps6.png"/>
                          <pic:cNvPicPr>
                            <a:picLocks noChangeAspect="true" noChangeArrowheads="true"/>
                          </pic:cNvPicPr>
                        </pic:nvPicPr>
                        <pic:blipFill>
                          <a:blip r:embed="rId355">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11" w:type="dxa"/>
            <w:vMerge w:val="restart"/>
            <w:tcBorders>
              <w:top w:val="single" w:color="auto" w:sz="4" w:space="0"/>
              <w:left w:val="single" w:color="auto" w:sz="12" w:space="0"/>
              <w:bottom w:val="single" w:color="auto" w:sz="4" w:space="0"/>
              <w:right w:val="single" w:color="auto" w:sz="4" w:space="0"/>
            </w:tcBorders>
            <w:vAlign w:val="center"/>
          </w:tcPr>
          <w:p>
            <w:pPr>
              <w:widowControl/>
              <w:kinsoku w:val="0"/>
              <w:autoSpaceDE w:val="0"/>
              <w:autoSpaceDN w:val="0"/>
              <w:spacing w:line="400" w:lineRule="exact"/>
              <w:ind w:left="143"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4"/>
                <w:kern w:val="0"/>
                <w:sz w:val="18"/>
                <w:szCs w:val="18"/>
              </w:rPr>
              <w:t>实施信息</w:t>
            </w:r>
          </w:p>
        </w:tc>
        <w:tc>
          <w:tcPr>
            <w:tcW w:w="6462" w:type="dxa"/>
            <w:gridSpan w:val="4"/>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111"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8"/>
                <w:kern w:val="0"/>
                <w:sz w:val="18"/>
                <w:szCs w:val="18"/>
              </w:rPr>
              <w:t>标准实施过程中是否存在阻力和障碍？</w:t>
            </w:r>
          </w:p>
        </w:tc>
        <w:tc>
          <w:tcPr>
            <w:tcW w:w="1384" w:type="dxa"/>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pacing w:line="400" w:lineRule="exact"/>
              <w:ind w:left="127"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98" name="图片 98" descr="C:\Users\ADMINI~1.USE\AppData\Local\Temp\ksohtml11916\wps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descr="C:\Users\ADMINI~1.USE\AppData\Local\Temp\ksohtml11916\wps7.png"/>
                          <pic:cNvPicPr>
                            <a:picLocks noChangeAspect="true" noChangeArrowheads="true"/>
                          </pic:cNvPicPr>
                        </pic:nvPicPr>
                        <pic:blipFill>
                          <a:blip r:embed="rId356">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 xml:space="preserve">是  </w:t>
            </w:r>
            <w:r>
              <w:rPr>
                <w:rFonts w:ascii="宋体" w:hAnsi="宋体" w:eastAsia="Times New Roman" w:cs="Times New Roman"/>
                <w:color w:val="000000"/>
                <w:kern w:val="0"/>
                <w:sz w:val="18"/>
                <w:szCs w:val="18"/>
              </w:rPr>
              <w:drawing>
                <wp:inline distT="0" distB="0" distL="0" distR="0">
                  <wp:extent cx="111125" cy="111125"/>
                  <wp:effectExtent l="0" t="0" r="3175" b="3175"/>
                  <wp:docPr id="97" name="图片 97" descr="C:\Users\ADMINI~1.USE\AppData\Local\Temp\ksohtml11916\wps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97" descr="C:\Users\ADMINI~1.USE\AppData\Local\Temp\ksohtml11916\wps8.png"/>
                          <pic:cNvPicPr>
                            <a:picLocks noChangeAspect="true" noChangeArrowheads="true"/>
                          </pic:cNvPicPr>
                        </pic:nvPicPr>
                        <pic:blipFill>
                          <a:blip r:embed="rId356">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22"/>
                <w:kern w:val="0"/>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snapToGrid/>
              <w:spacing w:line="400" w:lineRule="exact"/>
              <w:ind w:firstLine="0" w:firstLineChars="0"/>
              <w:jc w:val="left"/>
              <w:rPr>
                <w:rFonts w:ascii="宋体" w:hAnsi="宋体" w:cs="Times New Roman"/>
                <w:color w:val="000000"/>
                <w:kern w:val="0"/>
                <w:sz w:val="18"/>
                <w:szCs w:val="18"/>
              </w:rPr>
            </w:pPr>
          </w:p>
        </w:tc>
        <w:tc>
          <w:tcPr>
            <w:tcW w:w="3353" w:type="dxa"/>
            <w:gridSpan w:val="3"/>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125"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8"/>
                <w:kern w:val="0"/>
                <w:sz w:val="18"/>
                <w:szCs w:val="18"/>
              </w:rPr>
              <w:t>实施过程中存在的主要问题</w:t>
            </w:r>
          </w:p>
        </w:tc>
        <w:tc>
          <w:tcPr>
            <w:tcW w:w="4493" w:type="dxa"/>
            <w:gridSpan w:val="2"/>
            <w:tcBorders>
              <w:top w:val="single" w:color="auto" w:sz="4" w:space="0"/>
              <w:left w:val="single" w:color="auto" w:sz="4" w:space="0"/>
              <w:bottom w:val="single" w:color="auto" w:sz="4" w:space="0"/>
              <w:right w:val="single" w:color="auto" w:sz="12" w:space="0"/>
            </w:tcBorders>
            <w:vAlign w:val="center"/>
          </w:tcPr>
          <w:p>
            <w:pPr>
              <w:snapToGrid/>
              <w:spacing w:line="400" w:lineRule="exact"/>
              <w:ind w:firstLine="0" w:firstLineChars="0"/>
              <w:jc w:val="left"/>
              <w:rPr>
                <w:rFonts w:ascii="宋体" w:hAnsi="宋体" w:cs="Arial"/>
                <w:kern w:val="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jc w:val="center"/>
        </w:trPr>
        <w:tc>
          <w:tcPr>
            <w:tcW w:w="1211" w:type="dxa"/>
            <w:vMerge w:val="restart"/>
            <w:tcBorders>
              <w:top w:val="single" w:color="auto" w:sz="4" w:space="0"/>
              <w:left w:val="single" w:color="auto" w:sz="12" w:space="0"/>
              <w:bottom w:val="single" w:color="auto" w:sz="4" w:space="0"/>
              <w:right w:val="single" w:color="auto" w:sz="4" w:space="0"/>
            </w:tcBorders>
            <w:vAlign w:val="center"/>
          </w:tcPr>
          <w:p>
            <w:pPr>
              <w:widowControl/>
              <w:kinsoku w:val="0"/>
              <w:autoSpaceDE w:val="0"/>
              <w:autoSpaceDN w:val="0"/>
              <w:spacing w:line="400" w:lineRule="exact"/>
              <w:ind w:left="126"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8"/>
                <w:kern w:val="0"/>
                <w:sz w:val="18"/>
                <w:szCs w:val="18"/>
              </w:rPr>
              <w:t>修改意见</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pacing w:line="400" w:lineRule="exact"/>
              <w:ind w:left="361"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3"/>
                <w:kern w:val="0"/>
                <w:position w:val="12"/>
                <w:sz w:val="18"/>
                <w:szCs w:val="18"/>
              </w:rPr>
              <w:t>总体</w:t>
            </w:r>
          </w:p>
          <w:p>
            <w:pPr>
              <w:widowControl/>
              <w:kinsoku w:val="0"/>
              <w:autoSpaceDE w:val="0"/>
              <w:autoSpaceDN w:val="0"/>
              <w:spacing w:line="400" w:lineRule="exact"/>
              <w:ind w:left="361"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3"/>
                <w:kern w:val="0"/>
                <w:sz w:val="18"/>
                <w:szCs w:val="18"/>
              </w:rPr>
              <w:t>意见</w:t>
            </w:r>
          </w:p>
        </w:tc>
        <w:tc>
          <w:tcPr>
            <w:tcW w:w="6685" w:type="dxa"/>
            <w:gridSpan w:val="3"/>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pacing w:line="400" w:lineRule="exact"/>
              <w:ind w:left="124"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96" name="图片 96" descr="C:\Users\ADMINI~1.USE\AppData\Local\Temp\ksohtml11916\wps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descr="C:\Users\ADMINI~1.USE\AppData\Local\Temp\ksohtml11916\wps9.png"/>
                          <pic:cNvPicPr>
                            <a:picLocks noChangeAspect="true" noChangeArrowheads="true"/>
                          </pic:cNvPicPr>
                        </pic:nvPicPr>
                        <pic:blipFill>
                          <a:blip r:embed="rId355">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4"/>
                <w:kern w:val="0"/>
                <w:sz w:val="18"/>
                <w:szCs w:val="18"/>
              </w:rPr>
              <w:t xml:space="preserve">适用    </w:t>
            </w:r>
            <w:r>
              <w:rPr>
                <w:rFonts w:ascii="宋体" w:hAnsi="宋体" w:eastAsia="Times New Roman" w:cs="Times New Roman"/>
                <w:color w:val="000000"/>
                <w:kern w:val="0"/>
                <w:sz w:val="18"/>
                <w:szCs w:val="18"/>
              </w:rPr>
              <w:drawing>
                <wp:inline distT="0" distB="0" distL="0" distR="0">
                  <wp:extent cx="111125" cy="111125"/>
                  <wp:effectExtent l="0" t="0" r="3175" b="3175"/>
                  <wp:docPr id="95" name="图片 95" descr="C:\Users\ADMINI~1.USE\AppData\Local\Temp\ksohtml11916\wps1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descr="C:\Users\ADMINI~1.USE\AppData\Local\Temp\ksohtml11916\wps10.png"/>
                          <pic:cNvPicPr>
                            <a:picLocks noChangeAspect="true" noChangeArrowheads="true"/>
                          </pic:cNvPicPr>
                        </pic:nvPicPr>
                        <pic:blipFill>
                          <a:blip r:embed="rId357">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4"/>
                <w:kern w:val="0"/>
                <w:sz w:val="18"/>
                <w:szCs w:val="18"/>
              </w:rPr>
              <w:t xml:space="preserve">修改    </w:t>
            </w:r>
            <w:r>
              <w:rPr>
                <w:rFonts w:ascii="宋体" w:hAnsi="宋体" w:eastAsia="Times New Roman" w:cs="Times New Roman"/>
                <w:color w:val="000000"/>
                <w:kern w:val="0"/>
                <w:sz w:val="18"/>
                <w:szCs w:val="18"/>
              </w:rPr>
              <w:drawing>
                <wp:inline distT="0" distB="0" distL="0" distR="0">
                  <wp:extent cx="111125" cy="111125"/>
                  <wp:effectExtent l="0" t="0" r="3175" b="3175"/>
                  <wp:docPr id="94" name="图片 94" descr="C:\Users\ADMINI~1.USE\AppData\Local\Temp\ksohtml11916\wps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descr="C:\Users\ADMINI~1.USE\AppData\Local\Temp\ksohtml11916\wps11.png"/>
                          <pic:cNvPicPr>
                            <a:picLocks noChangeAspect="true" noChangeArrowheads="true"/>
                          </pic:cNvPicPr>
                        </pic:nvPicPr>
                        <pic:blipFill>
                          <a:blip r:embed="rId357">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4"/>
                <w:kern w:val="0"/>
                <w:sz w:val="18"/>
                <w:szCs w:val="18"/>
              </w:rPr>
              <w:t>废止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snapToGrid/>
              <w:spacing w:line="400" w:lineRule="exact"/>
              <w:ind w:firstLine="0" w:firstLineChars="0"/>
              <w:jc w:val="left"/>
              <w:rPr>
                <w:rFonts w:ascii="宋体" w:hAnsi="宋体" w:cs="Times New Roman"/>
                <w:color w:val="000000"/>
                <w:kern w:val="0"/>
                <w:sz w:val="18"/>
                <w:szCs w:val="18"/>
              </w:rPr>
            </w:pPr>
          </w:p>
        </w:tc>
        <w:tc>
          <w:tcPr>
            <w:tcW w:w="1161" w:type="dxa"/>
            <w:gridSpan w:val="2"/>
            <w:tcBorders>
              <w:top w:val="single" w:color="auto" w:sz="4" w:space="0"/>
              <w:left w:val="single" w:color="auto" w:sz="4" w:space="0"/>
              <w:bottom w:val="single" w:color="000000" w:sz="2" w:space="0"/>
              <w:right w:val="single" w:color="auto" w:sz="4" w:space="0"/>
            </w:tcBorders>
            <w:vAlign w:val="center"/>
          </w:tcPr>
          <w:p>
            <w:pPr>
              <w:widowControl/>
              <w:kinsoku w:val="0"/>
              <w:autoSpaceDE w:val="0"/>
              <w:autoSpaceDN w:val="0"/>
              <w:spacing w:line="400" w:lineRule="exact"/>
              <w:ind w:left="233"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4"/>
                <w:kern w:val="0"/>
                <w:position w:val="12"/>
                <w:sz w:val="18"/>
                <w:szCs w:val="18"/>
              </w:rPr>
              <w:t>具体修</w:t>
            </w:r>
          </w:p>
          <w:p>
            <w:pPr>
              <w:widowControl/>
              <w:kinsoku w:val="0"/>
              <w:autoSpaceDE w:val="0"/>
              <w:autoSpaceDN w:val="0"/>
              <w:spacing w:line="400" w:lineRule="exact"/>
              <w:ind w:left="251"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2"/>
                <w:kern w:val="0"/>
                <w:sz w:val="18"/>
                <w:szCs w:val="18"/>
              </w:rPr>
              <w:t>改意见</w:t>
            </w:r>
          </w:p>
        </w:tc>
        <w:tc>
          <w:tcPr>
            <w:tcW w:w="6685" w:type="dxa"/>
            <w:gridSpan w:val="3"/>
            <w:tcBorders>
              <w:top w:val="single" w:color="auto" w:sz="4" w:space="0"/>
              <w:left w:val="single" w:color="auto" w:sz="4" w:space="0"/>
              <w:bottom w:val="single" w:color="000000" w:sz="2" w:space="0"/>
              <w:right w:val="single" w:color="auto" w:sz="12" w:space="0"/>
            </w:tcBorders>
            <w:vAlign w:val="center"/>
          </w:tcPr>
          <w:p>
            <w:pPr>
              <w:widowControl/>
              <w:kinsoku w:val="0"/>
              <w:autoSpaceDE w:val="0"/>
              <w:autoSpaceDN w:val="0"/>
              <w:spacing w:line="400" w:lineRule="exact"/>
              <w:ind w:left="127"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4"/>
                <w:kern w:val="0"/>
                <w:sz w:val="18"/>
                <w:szCs w:val="18"/>
              </w:rPr>
              <w:t>需修改章节：</w:t>
            </w:r>
          </w:p>
          <w:p>
            <w:pPr>
              <w:widowControl/>
              <w:kinsoku w:val="0"/>
              <w:autoSpaceDE w:val="0"/>
              <w:autoSpaceDN w:val="0"/>
              <w:spacing w:line="400" w:lineRule="exact"/>
              <w:ind w:left="121"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6"/>
                <w:kern w:val="0"/>
                <w:sz w:val="18"/>
                <w:szCs w:val="18"/>
              </w:rPr>
              <w:t>具体修改意见：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jc w:val="center"/>
        </w:trPr>
        <w:tc>
          <w:tcPr>
            <w:tcW w:w="1211" w:type="dxa"/>
            <w:tcBorders>
              <w:top w:val="single" w:color="auto" w:sz="4" w:space="0"/>
              <w:left w:val="single" w:color="auto" w:sz="12" w:space="0"/>
              <w:bottom w:val="single" w:color="auto" w:sz="4" w:space="0"/>
              <w:right w:val="single" w:color="auto" w:sz="4" w:space="0"/>
            </w:tcBorders>
            <w:vAlign w:val="center"/>
          </w:tcPr>
          <w:p>
            <w:pPr>
              <w:widowControl/>
              <w:kinsoku w:val="0"/>
              <w:autoSpaceDE w:val="0"/>
              <w:autoSpaceDN w:val="0"/>
              <w:spacing w:line="400" w:lineRule="exact"/>
              <w:ind w:left="132"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7"/>
                <w:kern w:val="0"/>
                <w:sz w:val="18"/>
                <w:szCs w:val="18"/>
              </w:rPr>
              <w:t>反馈渠道</w:t>
            </w:r>
          </w:p>
        </w:tc>
        <w:tc>
          <w:tcPr>
            <w:tcW w:w="7846" w:type="dxa"/>
            <w:gridSpan w:val="5"/>
            <w:tcBorders>
              <w:top w:val="single" w:color="000000" w:sz="2" w:space="0"/>
              <w:left w:val="single" w:color="auto" w:sz="4" w:space="0"/>
              <w:bottom w:val="single" w:color="000000" w:sz="2" w:space="0"/>
              <w:right w:val="single" w:color="auto" w:sz="4" w:space="0"/>
            </w:tcBorders>
            <w:vAlign w:val="center"/>
          </w:tcPr>
          <w:p>
            <w:pPr>
              <w:widowControl/>
              <w:kinsoku w:val="0"/>
              <w:autoSpaceDE w:val="0"/>
              <w:autoSpaceDN w:val="0"/>
              <w:spacing w:line="400" w:lineRule="exact"/>
              <w:ind w:left="124"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93" name="图片 93" descr="C:\Users\ADMINI~1.USE\AppData\Local\Temp\ksohtml11916\wps1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descr="C:\Users\ADMINI~1.USE\AppData\Local\Temp\ksohtml11916\wps12.png"/>
                          <pic:cNvPicPr>
                            <a:picLocks noChangeAspect="true" noChangeArrowheads="true"/>
                          </pic:cNvPicPr>
                        </pic:nvPicPr>
                        <pic:blipFill>
                          <a:blip r:embed="rId358">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2"/>
                <w:kern w:val="0"/>
                <w:sz w:val="18"/>
                <w:szCs w:val="18"/>
              </w:rPr>
              <w:t>标准化行政主管部门</w:t>
            </w:r>
          </w:p>
          <w:p>
            <w:pPr>
              <w:widowControl/>
              <w:kinsoku w:val="0"/>
              <w:autoSpaceDE w:val="0"/>
              <w:autoSpaceDN w:val="0"/>
              <w:spacing w:line="400" w:lineRule="exact"/>
              <w:ind w:left="124"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92" name="图片 92" descr="C:\Users\ADMINI~1.USE\AppData\Local\Temp\ksohtml11916\wps1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descr="C:\Users\ADMINI~1.USE\AppData\Local\Temp\ksohtml11916\wps13.png"/>
                          <pic:cNvPicPr>
                            <a:picLocks noChangeAspect="true" noChangeArrowheads="true"/>
                          </pic:cNvPicPr>
                        </pic:nvPicPr>
                        <pic:blipFill>
                          <a:blip r:embed="rId359">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2"/>
                <w:kern w:val="0"/>
                <w:sz w:val="18"/>
                <w:szCs w:val="18"/>
              </w:rPr>
              <w:t>省直行业主管部门</w:t>
            </w:r>
          </w:p>
          <w:p>
            <w:pPr>
              <w:widowControl/>
              <w:kinsoku w:val="0"/>
              <w:autoSpaceDE w:val="0"/>
              <w:autoSpaceDN w:val="0"/>
              <w:spacing w:line="400" w:lineRule="exact"/>
              <w:ind w:left="124"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91" name="图片 91" descr="C:\Users\ADMINI~1.USE\AppData\Local\Temp\ksohtml11916\wps1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descr="C:\Users\ADMINI~1.USE\AppData\Local\Temp\ksohtml11916\wps14.png"/>
                          <pic:cNvPicPr>
                            <a:picLocks noChangeAspect="true" noChangeArrowheads="true"/>
                          </pic:cNvPicPr>
                        </pic:nvPicPr>
                        <pic:blipFill>
                          <a:blip r:embed="rId358">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0"/>
                <w:kern w:val="0"/>
                <w:sz w:val="18"/>
                <w:szCs w:val="18"/>
              </w:rPr>
              <w:t>专业标准化技术委员会（工作组）</w:t>
            </w:r>
          </w:p>
          <w:p>
            <w:pPr>
              <w:widowControl/>
              <w:kinsoku w:val="0"/>
              <w:autoSpaceDE w:val="0"/>
              <w:autoSpaceDN w:val="0"/>
              <w:spacing w:line="400" w:lineRule="exact"/>
              <w:ind w:left="124" w:firstLine="0" w:firstLineChars="0"/>
              <w:jc w:val="left"/>
              <w:textAlignment w:val="baseline"/>
              <w:rPr>
                <w:rFonts w:ascii="宋体" w:hAnsi="宋体" w:cs="Times New Roman"/>
                <w:color w:val="000000"/>
                <w:kern w:val="0"/>
                <w:sz w:val="18"/>
                <w:szCs w:val="18"/>
              </w:rPr>
            </w:pPr>
            <w:r>
              <w:rPr>
                <w:rFonts w:ascii="宋体" w:hAnsi="宋体" w:eastAsia="Times New Roman" w:cs="Times New Roman"/>
                <w:color w:val="000000"/>
                <w:kern w:val="0"/>
                <w:sz w:val="18"/>
                <w:szCs w:val="18"/>
              </w:rPr>
              <w:drawing>
                <wp:inline distT="0" distB="0" distL="0" distR="0">
                  <wp:extent cx="111125" cy="111125"/>
                  <wp:effectExtent l="0" t="0" r="3175" b="3175"/>
                  <wp:docPr id="90" name="图片 90" descr="C:\Users\ADMINI~1.USE\AppData\Local\Temp\ksohtml11916\wps1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descr="C:\Users\ADMINI~1.USE\AppData\Local\Temp\ksohtml11916\wps15.png"/>
                          <pic:cNvPicPr>
                            <a:picLocks noChangeAspect="true" noChangeArrowheads="true"/>
                          </pic:cNvPicPr>
                        </pic:nvPicPr>
                        <pic:blipFill>
                          <a:blip r:embed="rId358">
                            <a:extLst>
                              <a:ext uri="{28A0092B-C50C-407E-A947-70E740481C1C}">
                                <a14:useLocalDpi xmlns:a14="http://schemas.microsoft.com/office/drawing/2010/main" val="false"/>
                              </a:ext>
                            </a:extLst>
                          </a:blip>
                          <a:srcRect/>
                          <a:stretch>
                            <a:fillRect/>
                          </a:stretch>
                        </pic:blipFill>
                        <pic:spPr>
                          <a:xfrm>
                            <a:off x="0" y="0"/>
                            <a:ext cx="111125" cy="111125"/>
                          </a:xfrm>
                          <a:prstGeom prst="rect">
                            <a:avLst/>
                          </a:prstGeom>
                          <a:noFill/>
                          <a:ln>
                            <a:noFill/>
                          </a:ln>
                        </pic:spPr>
                      </pic:pic>
                    </a:graphicData>
                  </a:graphic>
                </wp:inline>
              </w:drawing>
            </w:r>
            <w:r>
              <w:rPr>
                <w:rFonts w:hint="eastAsia" w:ascii="宋体" w:hAnsi="宋体" w:cs="Times New Roman"/>
                <w:color w:val="000000"/>
                <w:spacing w:val="11"/>
                <w:kern w:val="0"/>
                <w:sz w:val="18"/>
                <w:szCs w:val="18"/>
              </w:rPr>
              <w:t>标准起草组（牵头起草单位）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jc w:val="center"/>
        </w:trPr>
        <w:tc>
          <w:tcPr>
            <w:tcW w:w="1211" w:type="dxa"/>
            <w:tcBorders>
              <w:top w:val="single" w:color="auto" w:sz="4" w:space="0"/>
              <w:left w:val="single" w:color="auto" w:sz="12" w:space="0"/>
              <w:bottom w:val="single" w:color="auto" w:sz="12" w:space="0"/>
              <w:right w:val="single" w:color="auto" w:sz="4" w:space="0"/>
            </w:tcBorders>
            <w:vAlign w:val="center"/>
          </w:tcPr>
          <w:p>
            <w:pPr>
              <w:widowControl/>
              <w:kinsoku w:val="0"/>
              <w:autoSpaceDE w:val="0"/>
              <w:autoSpaceDN w:val="0"/>
              <w:spacing w:line="400" w:lineRule="exact"/>
              <w:ind w:left="252"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6"/>
                <w:kern w:val="0"/>
                <w:sz w:val="18"/>
                <w:szCs w:val="18"/>
              </w:rPr>
              <w:t>反馈人</w:t>
            </w:r>
          </w:p>
        </w:tc>
        <w:tc>
          <w:tcPr>
            <w:tcW w:w="7846" w:type="dxa"/>
            <w:gridSpan w:val="5"/>
            <w:tcBorders>
              <w:top w:val="single" w:color="000000" w:sz="2" w:space="0"/>
              <w:left w:val="single" w:color="auto" w:sz="4" w:space="0"/>
              <w:bottom w:val="single" w:color="auto" w:sz="12" w:space="0"/>
              <w:right w:val="single" w:color="auto" w:sz="12" w:space="0"/>
            </w:tcBorders>
            <w:vAlign w:val="center"/>
          </w:tcPr>
          <w:p>
            <w:pPr>
              <w:widowControl/>
              <w:kinsoku w:val="0"/>
              <w:autoSpaceDE w:val="0"/>
              <w:autoSpaceDN w:val="0"/>
              <w:spacing w:line="400" w:lineRule="exact"/>
              <w:ind w:left="113" w:firstLine="0" w:firstLineChars="0"/>
              <w:jc w:val="left"/>
              <w:textAlignment w:val="baseline"/>
              <w:rPr>
                <w:rFonts w:ascii="宋体" w:hAnsi="宋体" w:cs="Times New Roman"/>
                <w:color w:val="000000"/>
                <w:kern w:val="0"/>
                <w:sz w:val="18"/>
                <w:szCs w:val="18"/>
              </w:rPr>
            </w:pPr>
            <w:r>
              <w:rPr>
                <w:rFonts w:hint="eastAsia" w:ascii="宋体" w:hAnsi="宋体" w:cs="Times New Roman"/>
                <w:color w:val="000000"/>
                <w:spacing w:val="2"/>
                <w:kern w:val="0"/>
                <w:sz w:val="18"/>
                <w:szCs w:val="18"/>
              </w:rPr>
              <w:t>姓名：</w:t>
            </w:r>
            <w:r>
              <w:rPr>
                <w:rFonts w:hint="eastAsia" w:ascii="宋体" w:hAnsi="宋体" w:cs="Times New Roman"/>
                <w:color w:val="000000"/>
                <w:spacing w:val="8"/>
                <w:kern w:val="0"/>
                <w:sz w:val="18"/>
                <w:szCs w:val="18"/>
              </w:rPr>
              <w:t xml:space="preserve">           </w:t>
            </w:r>
            <w:r>
              <w:rPr>
                <w:rFonts w:hint="eastAsia" w:ascii="宋体" w:hAnsi="宋体" w:cs="Times New Roman"/>
                <w:color w:val="000000"/>
                <w:spacing w:val="2"/>
                <w:kern w:val="0"/>
                <w:sz w:val="18"/>
                <w:szCs w:val="18"/>
              </w:rPr>
              <w:t>单位：</w:t>
            </w:r>
            <w:r>
              <w:rPr>
                <w:rFonts w:hint="eastAsia" w:ascii="宋体" w:hAnsi="宋体" w:cs="Times New Roman"/>
                <w:color w:val="000000"/>
                <w:spacing w:val="1"/>
                <w:kern w:val="0"/>
                <w:sz w:val="18"/>
                <w:szCs w:val="18"/>
              </w:rPr>
              <w:t xml:space="preserve">                      </w:t>
            </w:r>
            <w:r>
              <w:rPr>
                <w:rFonts w:hint="eastAsia" w:ascii="宋体" w:hAnsi="宋体" w:cs="Times New Roman"/>
                <w:color w:val="000000"/>
                <w:spacing w:val="2"/>
                <w:kern w:val="0"/>
                <w:sz w:val="18"/>
                <w:szCs w:val="18"/>
              </w:rPr>
              <w:t>联系方式：</w:t>
            </w:r>
          </w:p>
        </w:tc>
      </w:tr>
    </w:tbl>
    <w:p>
      <w:pPr>
        <w:ind w:firstLine="360"/>
        <w:jc w:val="left"/>
        <w:rPr>
          <w:rFonts w:ascii="宋体" w:hAnsi="宋体"/>
        </w:rPr>
      </w:pPr>
      <w:r>
        <w:rPr>
          <w:rFonts w:hint="eastAsia" w:ascii="宋体" w:hAnsi="宋体" w:cs="宋体"/>
          <w:color w:val="000000"/>
          <w:sz w:val="18"/>
          <w:szCs w:val="18"/>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p>
      <w:pPr>
        <w:widowControl/>
        <w:adjustRightInd/>
        <w:snapToGrid/>
        <w:spacing w:line="240" w:lineRule="auto"/>
        <w:ind w:firstLine="0" w:firstLineChars="0"/>
        <w:jc w:val="left"/>
      </w:pPr>
      <w:r>
        <w:br w:type="page"/>
      </w:r>
    </w:p>
    <w:p>
      <w:pPr>
        <w:autoSpaceDE w:val="0"/>
        <w:autoSpaceDN w:val="0"/>
        <w:adjustRightInd/>
        <w:spacing w:line="240" w:lineRule="auto"/>
        <w:ind w:firstLine="0" w:firstLineChars="0"/>
        <w:jc w:val="center"/>
        <w:rPr>
          <w:color w:val="000000"/>
          <w:kern w:val="0"/>
          <w:sz w:val="48"/>
          <w:szCs w:val="48"/>
        </w:rPr>
      </w:pPr>
    </w:p>
    <w:p>
      <w:pPr>
        <w:autoSpaceDE w:val="0"/>
        <w:autoSpaceDN w:val="0"/>
        <w:adjustRightInd/>
        <w:spacing w:line="240" w:lineRule="auto"/>
        <w:ind w:firstLine="0" w:firstLineChars="0"/>
        <w:jc w:val="center"/>
        <w:rPr>
          <w:color w:val="000000"/>
          <w:kern w:val="0"/>
          <w:sz w:val="48"/>
          <w:szCs w:val="48"/>
        </w:rPr>
      </w:pPr>
      <w:r>
        <w:rPr>
          <w:color w:val="000000"/>
          <w:kern w:val="0"/>
          <w:sz w:val="48"/>
          <w:szCs w:val="48"/>
        </w:rPr>
        <w:t>湖北省地方标准</w:t>
      </w:r>
    </w:p>
    <w:p>
      <w:pPr>
        <w:autoSpaceDE w:val="0"/>
        <w:autoSpaceDN w:val="0"/>
        <w:adjustRightInd/>
        <w:spacing w:line="240" w:lineRule="auto"/>
        <w:ind w:firstLine="0" w:firstLineChars="0"/>
        <w:jc w:val="center"/>
        <w:rPr>
          <w:color w:val="000000"/>
          <w:kern w:val="0"/>
        </w:rPr>
      </w:pPr>
    </w:p>
    <w:p>
      <w:pPr>
        <w:autoSpaceDE w:val="0"/>
        <w:autoSpaceDN w:val="0"/>
        <w:adjustRightInd/>
        <w:spacing w:line="240" w:lineRule="auto"/>
        <w:ind w:firstLine="0" w:firstLineChars="0"/>
        <w:jc w:val="center"/>
        <w:rPr>
          <w:color w:val="000000"/>
          <w:kern w:val="0"/>
        </w:rPr>
      </w:pPr>
    </w:p>
    <w:p>
      <w:pPr>
        <w:autoSpaceDE w:val="0"/>
        <w:autoSpaceDN w:val="0"/>
        <w:adjustRightInd/>
        <w:spacing w:line="240" w:lineRule="auto"/>
        <w:ind w:firstLine="0" w:firstLineChars="0"/>
        <w:jc w:val="center"/>
        <w:rPr>
          <w:color w:val="000000"/>
          <w:kern w:val="0"/>
        </w:rPr>
      </w:pPr>
    </w:p>
    <w:p>
      <w:pPr>
        <w:autoSpaceDE w:val="0"/>
        <w:autoSpaceDN w:val="0"/>
        <w:adjustRightInd/>
        <w:spacing w:line="240" w:lineRule="auto"/>
        <w:ind w:firstLine="0" w:firstLineChars="0"/>
        <w:jc w:val="center"/>
        <w:rPr>
          <w:rFonts w:eastAsia="黑体"/>
          <w:color w:val="000000"/>
          <w:kern w:val="0"/>
          <w:sz w:val="48"/>
          <w:szCs w:val="48"/>
        </w:rPr>
      </w:pPr>
      <w:r>
        <w:rPr>
          <w:rFonts w:hint="eastAsia" w:eastAsia="黑体"/>
          <w:color w:val="000000"/>
          <w:kern w:val="0"/>
          <w:sz w:val="48"/>
          <w:szCs w:val="48"/>
        </w:rPr>
        <w:t>装配式混合框架结构技术规程</w:t>
      </w:r>
    </w:p>
    <w:p>
      <w:pPr>
        <w:autoSpaceDE w:val="0"/>
        <w:autoSpaceDN w:val="0"/>
        <w:adjustRightInd/>
        <w:spacing w:line="240" w:lineRule="auto"/>
        <w:ind w:firstLine="0" w:firstLineChars="0"/>
        <w:jc w:val="center"/>
        <w:rPr>
          <w:color w:val="000000"/>
          <w:kern w:val="0"/>
        </w:rPr>
      </w:pPr>
      <w:r>
        <w:rPr>
          <w:rFonts w:eastAsia="黑体"/>
          <w:color w:val="000000"/>
          <w:kern w:val="0"/>
          <w:sz w:val="28"/>
          <w:szCs w:val="28"/>
        </w:rPr>
        <w:t>Technical specification for assembled hybrid frame structure</w:t>
      </w:r>
    </w:p>
    <w:p>
      <w:pPr>
        <w:autoSpaceDE w:val="0"/>
        <w:autoSpaceDN w:val="0"/>
        <w:adjustRightInd/>
        <w:spacing w:line="240" w:lineRule="auto"/>
        <w:ind w:firstLine="0" w:firstLineChars="0"/>
        <w:jc w:val="left"/>
        <w:rPr>
          <w:color w:val="000000"/>
          <w:kern w:val="0"/>
        </w:rPr>
      </w:pPr>
    </w:p>
    <w:p>
      <w:pPr>
        <w:autoSpaceDE w:val="0"/>
        <w:autoSpaceDN w:val="0"/>
        <w:adjustRightInd/>
        <w:spacing w:line="240" w:lineRule="auto"/>
        <w:ind w:firstLine="0" w:firstLineChars="0"/>
        <w:jc w:val="left"/>
        <w:rPr>
          <w:color w:val="000000"/>
          <w:kern w:val="0"/>
        </w:rPr>
      </w:pPr>
    </w:p>
    <w:p>
      <w:pPr>
        <w:pStyle w:val="2"/>
        <w:numPr>
          <w:ilvl w:val="0"/>
          <w:numId w:val="0"/>
        </w:numPr>
        <w:spacing w:before="340" w:beforeLines="0" w:after="330" w:afterLines="0" w:line="578" w:lineRule="auto"/>
        <w:jc w:val="center"/>
        <w:rPr>
          <w:rFonts w:ascii="宋体" w:hAnsi="宋体" w:eastAsia="宋体"/>
          <w:sz w:val="44"/>
        </w:rPr>
      </w:pPr>
      <w:bookmarkStart w:id="271" w:name="_Toc157610847"/>
      <w:bookmarkStart w:id="272" w:name="_Toc186641535"/>
      <w:bookmarkStart w:id="273" w:name="_Toc157610811"/>
      <w:bookmarkStart w:id="274" w:name="_Toc185448948"/>
      <w:bookmarkStart w:id="275" w:name="_Toc177592526"/>
      <w:bookmarkStart w:id="276" w:name="_Toc177594810"/>
      <w:bookmarkStart w:id="277" w:name="_Toc177593671"/>
      <w:bookmarkStart w:id="278" w:name="_Toc185448858"/>
      <w:r>
        <w:rPr>
          <w:rFonts w:ascii="宋体" w:hAnsi="宋体" w:eastAsia="宋体"/>
          <w:sz w:val="44"/>
        </w:rPr>
        <w:t>条文说明</w:t>
      </w:r>
      <w:bookmarkEnd w:id="271"/>
      <w:bookmarkEnd w:id="272"/>
      <w:bookmarkEnd w:id="273"/>
      <w:bookmarkEnd w:id="274"/>
      <w:bookmarkEnd w:id="275"/>
      <w:bookmarkEnd w:id="276"/>
      <w:bookmarkEnd w:id="277"/>
      <w:bookmarkEnd w:id="278"/>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widowControl/>
        <w:adjustRightInd/>
        <w:snapToGrid/>
        <w:spacing w:line="240" w:lineRule="auto"/>
        <w:ind w:firstLine="0" w:firstLineChars="0"/>
        <w:jc w:val="left"/>
        <w:rPr>
          <w:rFonts w:ascii="宋体" w:hAnsi="宋体"/>
          <w:sz w:val="44"/>
        </w:rPr>
      </w:pPr>
      <w:r>
        <w:rPr>
          <w:rFonts w:ascii="宋体" w:hAnsi="宋体"/>
          <w:sz w:val="44"/>
        </w:rPr>
        <w:br w:type="page"/>
      </w:r>
    </w:p>
    <w:p>
      <w:pPr>
        <w:ind w:firstLine="0" w:firstLineChars="0"/>
      </w:pPr>
    </w:p>
    <w:p>
      <w:pPr>
        <w:spacing w:after="360" w:afterLines="150" w:line="240" w:lineRule="auto"/>
        <w:ind w:firstLine="0" w:firstLineChars="0"/>
        <w:jc w:val="center"/>
        <w:rPr>
          <w:rFonts w:ascii="黑体" w:hAnsi="黑体" w:eastAsia="黑体"/>
          <w:sz w:val="32"/>
          <w:szCs w:val="32"/>
        </w:rPr>
      </w:pPr>
      <w:r>
        <w:rPr>
          <w:rFonts w:hint="eastAsia" w:ascii="黑体" w:hAnsi="黑体" w:eastAsia="黑体"/>
          <w:sz w:val="32"/>
          <w:szCs w:val="32"/>
        </w:rPr>
        <w:t xml:space="preserve">目 </w:t>
      </w:r>
      <w:r>
        <w:rPr>
          <w:rFonts w:ascii="黑体" w:hAnsi="黑体" w:eastAsia="黑体"/>
          <w:sz w:val="32"/>
          <w:szCs w:val="32"/>
        </w:rPr>
        <w:t xml:space="preserve"> </w:t>
      </w:r>
      <w:r>
        <w:rPr>
          <w:rFonts w:hint="eastAsia" w:ascii="黑体" w:hAnsi="黑体" w:eastAsia="黑体"/>
          <w:sz w:val="32"/>
          <w:szCs w:val="32"/>
        </w:rPr>
        <w:t>次</w:t>
      </w:r>
      <w:r>
        <w:fldChar w:fldCharType="begin"/>
      </w:r>
      <w:r>
        <w:instrText xml:space="preserve"> </w:instrText>
      </w:r>
      <w:r>
        <w:rPr>
          <w:rFonts w:hint="eastAsia"/>
        </w:rPr>
        <w:instrText xml:space="preserve">TOC \o "1-1" \h \z \u</w:instrText>
      </w:r>
      <w:r>
        <w:instrText xml:space="preserve"> </w:instrText>
      </w:r>
      <w:r>
        <w:fldChar w:fldCharType="separate"/>
      </w:r>
    </w:p>
    <w:p>
      <w:pPr>
        <w:pStyle w:val="23"/>
        <w:ind w:firstLine="420"/>
        <w:rPr>
          <w:rFonts w:asciiTheme="minorHAnsi" w:hAnsiTheme="minorHAnsi" w:eastAsiaTheme="minorEastAsia" w:cstheme="minorBidi"/>
          <w:bCs w:val="0"/>
          <w:szCs w:val="22"/>
        </w:rPr>
      </w:pPr>
    </w:p>
    <w:p>
      <w:pPr>
        <w:pStyle w:val="23"/>
        <w:tabs>
          <w:tab w:val="right" w:leader="dot" w:pos="9345"/>
        </w:tabs>
        <w:ind w:firstLine="420"/>
        <w:rPr>
          <w:rStyle w:val="38"/>
          <w:rFonts w:hAnsi="黑体"/>
        </w:rPr>
      </w:pPr>
      <w:r>
        <w:fldChar w:fldCharType="begin"/>
      </w:r>
      <w:r>
        <w:instrText xml:space="preserve"> HYPERLINK \l "_Toc185448950" </w:instrText>
      </w:r>
      <w:r>
        <w:fldChar w:fldCharType="separate"/>
      </w:r>
      <w:r>
        <w:rPr>
          <w:rStyle w:val="38"/>
          <w:rFonts w:ascii="黑体" w:hAnsi="黑体" w:eastAsia="黑体"/>
        </w:rPr>
        <w:t>3</w:t>
      </w:r>
      <w:r>
        <w:rPr>
          <w:rStyle w:val="38"/>
          <w:rFonts w:hAnsi="黑体"/>
        </w:rPr>
        <w:t xml:space="preserve"> </w:t>
      </w:r>
      <w:r>
        <w:rPr>
          <w:rStyle w:val="38"/>
          <w:rFonts w:hint="eastAsia" w:hAnsi="黑体"/>
        </w:rPr>
        <w:t>术语</w:t>
      </w:r>
      <w:r>
        <w:rPr>
          <w:rStyle w:val="38"/>
          <w:rFonts w:hAnsi="黑体"/>
        </w:rPr>
        <w:tab/>
      </w:r>
      <w:r>
        <w:rPr>
          <w:rStyle w:val="38"/>
          <w:rFonts w:hAnsi="黑体"/>
        </w:rPr>
        <w:t>56</w:t>
      </w:r>
      <w:r>
        <w:rPr>
          <w:rStyle w:val="38"/>
          <w:rFonts w:hAnsi="黑体"/>
        </w:rPr>
        <w:fldChar w:fldCharType="end"/>
      </w:r>
    </w:p>
    <w:p>
      <w:pPr>
        <w:pStyle w:val="23"/>
        <w:tabs>
          <w:tab w:val="right" w:leader="dot" w:pos="9345"/>
        </w:tabs>
        <w:ind w:firstLine="420"/>
        <w:rPr>
          <w:rStyle w:val="38"/>
          <w:rFonts w:hAnsi="黑体"/>
        </w:rPr>
      </w:pPr>
      <w:r>
        <w:fldChar w:fldCharType="begin"/>
      </w:r>
      <w:r>
        <w:instrText xml:space="preserve"> HYPERLINK \l "_Toc185448952" </w:instrText>
      </w:r>
      <w:r>
        <w:fldChar w:fldCharType="separate"/>
      </w:r>
      <w:r>
        <w:rPr>
          <w:rStyle w:val="38"/>
          <w:rFonts w:ascii="黑体" w:hAnsi="黑体" w:eastAsia="黑体"/>
        </w:rPr>
        <w:t>5</w:t>
      </w:r>
      <w:r>
        <w:rPr>
          <w:rStyle w:val="38"/>
          <w:rFonts w:hAnsi="黑体"/>
        </w:rPr>
        <w:t xml:space="preserve"> </w:t>
      </w:r>
      <w:r>
        <w:rPr>
          <w:rStyle w:val="38"/>
          <w:rFonts w:hint="eastAsia" w:hAnsi="黑体"/>
        </w:rPr>
        <w:t>基本规定</w:t>
      </w:r>
      <w:r>
        <w:rPr>
          <w:rStyle w:val="38"/>
          <w:rFonts w:hAnsi="黑体"/>
        </w:rPr>
        <w:tab/>
      </w:r>
      <w:r>
        <w:rPr>
          <w:rStyle w:val="38"/>
          <w:rFonts w:hAnsi="黑体"/>
        </w:rPr>
        <w:t>56</w:t>
      </w:r>
      <w:r>
        <w:rPr>
          <w:rStyle w:val="38"/>
          <w:rFonts w:hAnsi="黑体"/>
        </w:rPr>
        <w:fldChar w:fldCharType="end"/>
      </w:r>
    </w:p>
    <w:p>
      <w:pPr>
        <w:pStyle w:val="23"/>
        <w:tabs>
          <w:tab w:val="right" w:leader="dot" w:pos="9345"/>
        </w:tabs>
        <w:ind w:firstLine="420"/>
        <w:rPr>
          <w:rFonts w:asciiTheme="minorHAnsi" w:hAnsiTheme="minorHAnsi" w:eastAsiaTheme="minorEastAsia" w:cstheme="minorBidi"/>
          <w:bCs w:val="0"/>
          <w:szCs w:val="22"/>
        </w:rPr>
      </w:pPr>
      <w:r>
        <w:fldChar w:fldCharType="begin"/>
      </w:r>
      <w:r>
        <w:instrText xml:space="preserve"> HYPERLINK \l "_Toc185448953" </w:instrText>
      </w:r>
      <w:r>
        <w:fldChar w:fldCharType="separate"/>
      </w:r>
      <w:r>
        <w:rPr>
          <w:rStyle w:val="38"/>
          <w:rFonts w:ascii="黑体" w:hAnsi="黑体" w:eastAsia="黑体"/>
        </w:rPr>
        <w:t>6</w:t>
      </w:r>
      <w:r>
        <w:rPr>
          <w:rStyle w:val="38"/>
          <w:rFonts w:hAnsi="黑体"/>
        </w:rPr>
        <w:t xml:space="preserve"> </w:t>
      </w:r>
      <w:r>
        <w:rPr>
          <w:rStyle w:val="38"/>
          <w:rFonts w:hint="eastAsia" w:hAnsi="黑体"/>
        </w:rPr>
        <w:t>材料</w:t>
      </w:r>
      <w:r>
        <w:rPr>
          <w:rStyle w:val="38"/>
          <w:rFonts w:hAnsi="黑体"/>
        </w:rPr>
        <w:tab/>
      </w:r>
      <w:r>
        <w:rPr>
          <w:rStyle w:val="38"/>
          <w:rFonts w:hAnsi="黑体"/>
        </w:rPr>
        <w:t>56</w:t>
      </w:r>
      <w:r>
        <w:rPr>
          <w:rStyle w:val="38"/>
          <w:rFonts w:hAnsi="黑体"/>
        </w:rPr>
        <w:fldChar w:fldCharType="end"/>
      </w:r>
    </w:p>
    <w:p>
      <w:pPr>
        <w:pStyle w:val="23"/>
        <w:tabs>
          <w:tab w:val="right" w:leader="dot" w:pos="9345"/>
        </w:tabs>
        <w:ind w:firstLine="420"/>
        <w:rPr>
          <w:rFonts w:asciiTheme="minorHAnsi" w:hAnsiTheme="minorHAnsi" w:eastAsiaTheme="minorEastAsia" w:cstheme="minorBidi"/>
          <w:bCs w:val="0"/>
          <w:szCs w:val="22"/>
        </w:rPr>
      </w:pPr>
      <w:r>
        <w:fldChar w:fldCharType="begin"/>
      </w:r>
      <w:r>
        <w:instrText xml:space="preserve"> HYPERLINK \l "_Toc185448954" </w:instrText>
      </w:r>
      <w:r>
        <w:fldChar w:fldCharType="separate"/>
      </w:r>
      <w:r>
        <w:rPr>
          <w:rStyle w:val="38"/>
          <w:rFonts w:ascii="黑体" w:hAnsi="黑体" w:eastAsia="黑体"/>
        </w:rPr>
        <w:t>7</w:t>
      </w:r>
      <w:r>
        <w:rPr>
          <w:rStyle w:val="38"/>
          <w:rFonts w:hAnsi="黑体"/>
        </w:rPr>
        <w:t xml:space="preserve"> </w:t>
      </w:r>
      <w:r>
        <w:rPr>
          <w:rStyle w:val="38"/>
          <w:rFonts w:hint="eastAsia" w:hAnsi="黑体"/>
        </w:rPr>
        <w:t>作用和作用组合</w:t>
      </w:r>
      <w:r>
        <w:rPr>
          <w:rStyle w:val="38"/>
          <w:rFonts w:hAnsi="黑体"/>
        </w:rPr>
        <w:tab/>
      </w:r>
      <w:r>
        <w:rPr>
          <w:rStyle w:val="38"/>
          <w:rFonts w:hAnsi="黑体"/>
        </w:rPr>
        <w:t>56</w:t>
      </w:r>
      <w:r>
        <w:rPr>
          <w:rStyle w:val="38"/>
          <w:rFonts w:hAnsi="黑体"/>
        </w:rPr>
        <w:fldChar w:fldCharType="end"/>
      </w:r>
    </w:p>
    <w:p>
      <w:pPr>
        <w:pStyle w:val="23"/>
        <w:tabs>
          <w:tab w:val="right" w:leader="dot" w:pos="9345"/>
        </w:tabs>
        <w:ind w:firstLine="420"/>
        <w:rPr>
          <w:rStyle w:val="38"/>
          <w:rFonts w:hAnsi="黑体"/>
        </w:rPr>
      </w:pPr>
      <w:r>
        <w:fldChar w:fldCharType="begin"/>
      </w:r>
      <w:r>
        <w:instrText xml:space="preserve"> HYPERLINK \l "_Toc185448955" </w:instrText>
      </w:r>
      <w:r>
        <w:fldChar w:fldCharType="separate"/>
      </w:r>
      <w:r>
        <w:rPr>
          <w:rStyle w:val="38"/>
          <w:rFonts w:ascii="黑体" w:hAnsi="黑体" w:eastAsia="黑体"/>
        </w:rPr>
        <w:t>8</w:t>
      </w:r>
      <w:r>
        <w:rPr>
          <w:rStyle w:val="38"/>
          <w:rFonts w:hAnsi="黑体"/>
        </w:rPr>
        <w:t xml:space="preserve"> </w:t>
      </w:r>
      <w:r>
        <w:rPr>
          <w:rStyle w:val="38"/>
          <w:rFonts w:hint="eastAsia" w:hAnsi="黑体"/>
        </w:rPr>
        <w:t>结构分析</w:t>
      </w:r>
      <w:r>
        <w:rPr>
          <w:rStyle w:val="38"/>
          <w:rFonts w:hAnsi="黑体"/>
        </w:rPr>
        <w:tab/>
      </w:r>
      <w:r>
        <w:rPr>
          <w:rStyle w:val="38"/>
          <w:rFonts w:hAnsi="黑体"/>
        </w:rPr>
        <w:t>57</w:t>
      </w:r>
      <w:r>
        <w:rPr>
          <w:rStyle w:val="38"/>
          <w:rFonts w:hAnsi="黑体"/>
        </w:rPr>
        <w:fldChar w:fldCharType="end"/>
      </w:r>
    </w:p>
    <w:p>
      <w:pPr>
        <w:pStyle w:val="23"/>
        <w:tabs>
          <w:tab w:val="right" w:leader="dot" w:pos="9345"/>
        </w:tabs>
        <w:ind w:firstLine="420"/>
        <w:rPr>
          <w:rStyle w:val="38"/>
          <w:rFonts w:hAnsi="黑体"/>
        </w:rPr>
      </w:pPr>
      <w:r>
        <w:fldChar w:fldCharType="begin"/>
      </w:r>
      <w:r>
        <w:instrText xml:space="preserve"> HYPERLINK \l "_Toc185448956" </w:instrText>
      </w:r>
      <w:r>
        <w:fldChar w:fldCharType="separate"/>
      </w:r>
      <w:r>
        <w:rPr>
          <w:rStyle w:val="38"/>
          <w:rFonts w:ascii="黑体" w:hAnsi="黑体" w:eastAsia="黑体"/>
        </w:rPr>
        <w:t>9</w:t>
      </w:r>
      <w:r>
        <w:rPr>
          <w:rStyle w:val="38"/>
          <w:rFonts w:hAnsi="黑体"/>
        </w:rPr>
        <w:t xml:space="preserve"> </w:t>
      </w:r>
      <w:r>
        <w:rPr>
          <w:rStyle w:val="38"/>
          <w:rFonts w:hint="eastAsia" w:hAnsi="黑体"/>
        </w:rPr>
        <w:t>结构设计</w:t>
      </w:r>
      <w:r>
        <w:rPr>
          <w:rStyle w:val="38"/>
          <w:rFonts w:hAnsi="黑体"/>
        </w:rPr>
        <w:tab/>
      </w:r>
      <w:r>
        <w:rPr>
          <w:rStyle w:val="38"/>
          <w:rFonts w:hAnsi="黑体"/>
        </w:rPr>
        <w:t>57</w:t>
      </w:r>
      <w:r>
        <w:rPr>
          <w:rStyle w:val="38"/>
          <w:rFonts w:hAnsi="黑体"/>
        </w:rPr>
        <w:fldChar w:fldCharType="end"/>
      </w:r>
    </w:p>
    <w:p>
      <w:pPr>
        <w:pStyle w:val="23"/>
        <w:tabs>
          <w:tab w:val="right" w:leader="dot" w:pos="9345"/>
        </w:tabs>
        <w:ind w:firstLine="420"/>
        <w:rPr>
          <w:rFonts w:asciiTheme="minorHAnsi" w:hAnsiTheme="minorHAnsi" w:eastAsiaTheme="minorEastAsia" w:cstheme="minorBidi"/>
          <w:bCs w:val="0"/>
          <w:szCs w:val="22"/>
        </w:rPr>
      </w:pPr>
      <w:r>
        <w:fldChar w:fldCharType="begin"/>
      </w:r>
      <w:r>
        <w:instrText xml:space="preserve"> HYPERLINK \l "_Toc185448957" </w:instrText>
      </w:r>
      <w:r>
        <w:fldChar w:fldCharType="separate"/>
      </w:r>
      <w:r>
        <w:rPr>
          <w:rStyle w:val="38"/>
          <w:rFonts w:ascii="黑体" w:hAnsi="黑体" w:eastAsia="黑体"/>
        </w:rPr>
        <w:t>12</w:t>
      </w:r>
      <w:r>
        <w:rPr>
          <w:rStyle w:val="38"/>
          <w:rFonts w:hAnsi="黑体"/>
        </w:rPr>
        <w:t xml:space="preserve"> </w:t>
      </w:r>
      <w:r>
        <w:rPr>
          <w:rStyle w:val="38"/>
          <w:rFonts w:hint="eastAsia" w:hAnsi="黑体"/>
        </w:rPr>
        <w:t>结构施工</w:t>
      </w:r>
      <w:r>
        <w:rPr>
          <w:rStyle w:val="38"/>
          <w:rFonts w:hAnsi="黑体"/>
        </w:rPr>
        <w:tab/>
      </w:r>
      <w:r>
        <w:rPr>
          <w:rStyle w:val="38"/>
          <w:rFonts w:hAnsi="黑体"/>
        </w:rPr>
        <w:fldChar w:fldCharType="begin"/>
      </w:r>
      <w:r>
        <w:rPr>
          <w:rStyle w:val="38"/>
          <w:rFonts w:hAnsi="黑体"/>
        </w:rPr>
        <w:instrText xml:space="preserve"> PAGEREF _Toc185448957 \h </w:instrText>
      </w:r>
      <w:r>
        <w:rPr>
          <w:rStyle w:val="38"/>
          <w:rFonts w:hAnsi="黑体"/>
        </w:rPr>
        <w:fldChar w:fldCharType="separate"/>
      </w:r>
      <w:r>
        <w:rPr>
          <w:rStyle w:val="38"/>
          <w:rFonts w:hAnsi="黑体"/>
        </w:rPr>
        <w:t>66</w:t>
      </w:r>
      <w:r>
        <w:rPr>
          <w:rStyle w:val="38"/>
          <w:rFonts w:hAnsi="黑体"/>
        </w:rPr>
        <w:fldChar w:fldCharType="end"/>
      </w:r>
      <w:r>
        <w:rPr>
          <w:rStyle w:val="38"/>
          <w:rFonts w:hAnsi="黑体"/>
        </w:rPr>
        <w:fldChar w:fldCharType="end"/>
      </w:r>
    </w:p>
    <w:p>
      <w:pPr>
        <w:pStyle w:val="23"/>
        <w:tabs>
          <w:tab w:val="right" w:leader="dot" w:pos="9345"/>
        </w:tabs>
        <w:ind w:firstLine="420"/>
        <w:rPr>
          <w:rStyle w:val="38"/>
          <w:rFonts w:hAnsi="黑体"/>
        </w:rPr>
      </w:pPr>
      <w:r>
        <w:fldChar w:fldCharType="begin"/>
      </w:r>
      <w:r>
        <w:instrText xml:space="preserve"> HYPERLINK \l "_Toc185448958" </w:instrText>
      </w:r>
      <w:r>
        <w:fldChar w:fldCharType="separate"/>
      </w:r>
      <w:r>
        <w:rPr>
          <w:rStyle w:val="38"/>
          <w:rFonts w:ascii="黑体" w:hAnsi="黑体" w:eastAsia="黑体"/>
        </w:rPr>
        <w:t>13</w:t>
      </w:r>
      <w:r>
        <w:rPr>
          <w:rStyle w:val="38"/>
          <w:rFonts w:hAnsi="黑体"/>
        </w:rPr>
        <w:t xml:space="preserve"> </w:t>
      </w:r>
      <w:r>
        <w:rPr>
          <w:rStyle w:val="38"/>
          <w:rFonts w:hint="eastAsia" w:hAnsi="黑体"/>
        </w:rPr>
        <w:t>工程验收</w:t>
      </w:r>
      <w:r>
        <w:rPr>
          <w:rStyle w:val="38"/>
          <w:rFonts w:hAnsi="黑体"/>
        </w:rPr>
        <w:tab/>
      </w:r>
      <w:r>
        <w:rPr>
          <w:rStyle w:val="38"/>
          <w:rFonts w:hAnsi="黑体"/>
        </w:rPr>
        <w:t>66</w:t>
      </w:r>
      <w:r>
        <w:rPr>
          <w:rStyle w:val="38"/>
          <w:rFonts w:hAnsi="黑体"/>
        </w:rPr>
        <w:fldChar w:fldCharType="end"/>
      </w: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rPr>
          <w:rStyle w:val="38"/>
        </w:rPr>
      </w:pPr>
    </w:p>
    <w:p>
      <w:pPr>
        <w:widowControl/>
        <w:adjustRightInd/>
        <w:snapToGrid/>
        <w:spacing w:line="240" w:lineRule="auto"/>
        <w:ind w:firstLine="0" w:firstLineChars="0"/>
        <w:jc w:val="left"/>
      </w:pPr>
      <w:r>
        <w:fldChar w:fldCharType="end"/>
      </w:r>
    </w:p>
    <w:p>
      <w:pPr>
        <w:widowControl/>
        <w:adjustRightInd/>
        <w:snapToGrid/>
        <w:spacing w:line="240" w:lineRule="auto"/>
        <w:ind w:firstLine="0" w:firstLineChars="0"/>
        <w:jc w:val="left"/>
      </w:pPr>
    </w:p>
    <w:p>
      <w:pPr>
        <w:widowControl/>
        <w:adjustRightInd/>
        <w:snapToGrid/>
        <w:spacing w:line="240" w:lineRule="auto"/>
        <w:ind w:firstLine="0" w:firstLineChars="0"/>
        <w:jc w:val="left"/>
      </w:pPr>
    </w:p>
    <w:p>
      <w:pPr>
        <w:pStyle w:val="108"/>
        <w:numPr>
          <w:ilvl w:val="1"/>
          <w:numId w:val="0"/>
        </w:numPr>
        <w:spacing w:before="240" w:after="240"/>
        <w:textAlignment w:val="center"/>
        <w:rPr>
          <w:color w:val="000000"/>
        </w:rPr>
      </w:pPr>
      <w:bookmarkStart w:id="279" w:name="_Toc177592587"/>
      <w:bookmarkStart w:id="280" w:name="_Toc177594871"/>
      <w:bookmarkStart w:id="281" w:name="_Toc177593732"/>
      <w:bookmarkStart w:id="282" w:name="_Toc185448860"/>
      <w:bookmarkStart w:id="283" w:name="_Toc186641536"/>
      <w:bookmarkStart w:id="284" w:name="_Toc185523567"/>
      <w:bookmarkStart w:id="285" w:name="_Toc185448950"/>
      <w:bookmarkStart w:id="286" w:name="条文目录"/>
      <w:r>
        <w:rPr>
          <w:rFonts w:hAnsi="黑体"/>
        </w:rPr>
        <w:t>3</w:t>
      </w:r>
      <w:r>
        <w:rPr>
          <w:rFonts w:hint="eastAsia" w:hAnsi="黑体"/>
        </w:rPr>
        <w:t>　</w:t>
      </w:r>
      <w:bookmarkEnd w:id="279"/>
      <w:bookmarkEnd w:id="280"/>
      <w:bookmarkEnd w:id="281"/>
      <w:r>
        <w:rPr>
          <w:rFonts w:hint="eastAsia"/>
          <w:color w:val="000000"/>
        </w:rPr>
        <w:t>术语</w:t>
      </w:r>
      <w:bookmarkEnd w:id="282"/>
      <w:bookmarkEnd w:id="283"/>
      <w:bookmarkEnd w:id="284"/>
      <w:bookmarkEnd w:id="285"/>
    </w:p>
    <w:p>
      <w:pPr>
        <w:pStyle w:val="109"/>
        <w:numPr>
          <w:ilvl w:val="0"/>
          <w:numId w:val="0"/>
        </w:numPr>
        <w:spacing w:before="0" w:beforeLines="0" w:after="0" w:afterLines="0"/>
        <w:textAlignment w:val="center"/>
        <w:outlineLvl w:val="2"/>
        <w:rPr>
          <w:rFonts w:ascii="Times New Roman" w:eastAsia="宋体" w:cstheme="minorBidi"/>
          <w:bCs/>
          <w:kern w:val="2"/>
          <w:szCs w:val="32"/>
        </w:rPr>
      </w:pPr>
      <w:bookmarkStart w:id="287" w:name="_Toc177592589"/>
      <w:bookmarkStart w:id="288" w:name="_Toc177594873"/>
      <w:bookmarkStart w:id="289" w:name="_Toc177593734"/>
      <w:bookmarkStart w:id="290" w:name="_Toc185523568"/>
      <w:bookmarkStart w:id="291" w:name="_Toc186641537"/>
      <w:r>
        <w:rPr>
          <w:rFonts w:hAnsi="宋体"/>
          <w:color w:val="000000"/>
        </w:rPr>
        <w:t>3</w:t>
      </w:r>
      <w:r>
        <w:rPr>
          <w:rFonts w:hint="eastAsia" w:hAnsi="宋体"/>
          <w:color w:val="000000"/>
        </w:rPr>
        <w:t>.1.1</w:t>
      </w:r>
      <w:r>
        <w:rPr>
          <w:rFonts w:hint="eastAsia" w:ascii="Times New Roman" w:eastAsia="宋体"/>
          <w:color w:val="000000"/>
        </w:rPr>
        <w:t>　</w:t>
      </w:r>
      <w:bookmarkEnd w:id="287"/>
      <w:bookmarkEnd w:id="288"/>
      <w:bookmarkEnd w:id="289"/>
      <w:r>
        <w:rPr>
          <w:rFonts w:hint="eastAsia" w:ascii="Times New Roman" w:eastAsia="宋体" w:cstheme="minorBidi"/>
          <w:bCs/>
          <w:kern w:val="2"/>
          <w:szCs w:val="32"/>
        </w:rPr>
        <w:t>钢管混凝土柱与钢筋混凝土梁混合结构体系传统连接方式采用钢牛腿或开小孔钢筋穿越，施工实施较为困难，造价也相对较高。CFRST-RB结构、CFCST-RB结构是为了改进原做法而提出的一种创新型的结构，即在钢管混凝土柱与梁连接的部位开大孔，使得梁纵筋能整束直穿锚入，在满足受力的条件下，大大方便了施工，同时也节约造价。</w:t>
      </w:r>
      <w:bookmarkEnd w:id="290"/>
      <w:bookmarkEnd w:id="291"/>
    </w:p>
    <w:p>
      <w:pPr>
        <w:pStyle w:val="108"/>
        <w:numPr>
          <w:ilvl w:val="1"/>
          <w:numId w:val="0"/>
        </w:numPr>
        <w:spacing w:before="240" w:after="240"/>
        <w:textAlignment w:val="center"/>
        <w:rPr>
          <w:color w:val="000000"/>
        </w:rPr>
      </w:pPr>
      <w:bookmarkStart w:id="292" w:name="_Toc186641538"/>
      <w:bookmarkStart w:id="293" w:name="_Toc185448952"/>
      <w:bookmarkStart w:id="294" w:name="_Toc185448862"/>
      <w:bookmarkStart w:id="295" w:name="_Toc185523569"/>
      <w:r>
        <w:rPr>
          <w:rFonts w:hAnsi="黑体"/>
        </w:rPr>
        <w:t>5</w:t>
      </w:r>
      <w:r>
        <w:rPr>
          <w:rFonts w:hint="eastAsia" w:hAnsi="黑体"/>
        </w:rPr>
        <w:t>　</w:t>
      </w:r>
      <w:r>
        <w:rPr>
          <w:rFonts w:hint="eastAsia"/>
          <w:color w:val="000000"/>
        </w:rPr>
        <w:t>基本规定</w:t>
      </w:r>
      <w:bookmarkEnd w:id="292"/>
      <w:bookmarkEnd w:id="293"/>
      <w:bookmarkEnd w:id="294"/>
      <w:bookmarkEnd w:id="295"/>
    </w:p>
    <w:p>
      <w:pPr>
        <w:pStyle w:val="109"/>
        <w:numPr>
          <w:ilvl w:val="0"/>
          <w:numId w:val="0"/>
        </w:numPr>
        <w:spacing w:before="0" w:beforeLines="0" w:after="0" w:afterLines="0"/>
        <w:textAlignment w:val="center"/>
        <w:outlineLvl w:val="2"/>
        <w:rPr>
          <w:rFonts w:ascii="宋体" w:hAnsi="宋体" w:eastAsia="宋体"/>
          <w:color w:val="000000"/>
        </w:rPr>
      </w:pPr>
      <w:bookmarkStart w:id="296" w:name="_Toc185523571"/>
      <w:bookmarkStart w:id="297" w:name="_Toc186641539"/>
      <w:r>
        <w:rPr>
          <w:rFonts w:hAnsi="宋体"/>
          <w:color w:val="000000"/>
        </w:rPr>
        <w:t>5</w:t>
      </w:r>
      <w:r>
        <w:rPr>
          <w:rFonts w:hint="eastAsia" w:hAnsi="宋体"/>
          <w:color w:val="000000"/>
        </w:rPr>
        <w:t>.1.</w:t>
      </w:r>
      <w:r>
        <w:rPr>
          <w:rFonts w:hAnsi="宋体"/>
          <w:color w:val="000000"/>
        </w:rPr>
        <w:t>1</w:t>
      </w:r>
      <w:r>
        <w:rPr>
          <w:rFonts w:hint="eastAsia" w:ascii="Times New Roman" w:eastAsia="宋体"/>
          <w:color w:val="000000"/>
        </w:rPr>
        <w:t>　</w:t>
      </w:r>
      <w:r>
        <w:rPr>
          <w:rFonts w:hint="eastAsia" w:ascii="宋体" w:hAnsi="宋体" w:eastAsia="宋体"/>
          <w:color w:val="000000"/>
        </w:rPr>
        <w:t>本文件提出结构类型主要用于公共建筑。列如：学校、医院、商业、办公楼等。根据房屋的高度、建设性质及造价要求，合理选用混合结构类型，同时满足装配式建造。</w:t>
      </w:r>
      <w:bookmarkEnd w:id="296"/>
      <w:bookmarkEnd w:id="297"/>
    </w:p>
    <w:p>
      <w:pPr>
        <w:pStyle w:val="109"/>
        <w:numPr>
          <w:ilvl w:val="0"/>
          <w:numId w:val="0"/>
        </w:numPr>
        <w:spacing w:before="0" w:beforeLines="0" w:after="0" w:afterLines="0"/>
        <w:textAlignment w:val="center"/>
        <w:outlineLvl w:val="2"/>
        <w:rPr>
          <w:rFonts w:ascii="宋体" w:hAnsi="宋体" w:eastAsia="宋体"/>
          <w:color w:val="000000"/>
        </w:rPr>
      </w:pPr>
      <w:bookmarkStart w:id="298" w:name="_Toc185523572"/>
      <w:bookmarkStart w:id="299" w:name="_Toc186641540"/>
      <w:r>
        <w:rPr>
          <w:rFonts w:hAnsi="宋体"/>
          <w:color w:val="000000"/>
        </w:rPr>
        <w:t>5</w:t>
      </w:r>
      <w:r>
        <w:rPr>
          <w:rFonts w:hint="eastAsia" w:hAnsi="宋体"/>
          <w:color w:val="000000"/>
        </w:rPr>
        <w:t>.1.</w:t>
      </w:r>
      <w:r>
        <w:rPr>
          <w:rFonts w:hAnsi="宋体"/>
          <w:color w:val="000000"/>
        </w:rPr>
        <w:t>4</w:t>
      </w:r>
      <w:r>
        <w:rPr>
          <w:rFonts w:hint="eastAsia" w:ascii="Times New Roman" w:eastAsia="宋体"/>
          <w:color w:val="000000"/>
        </w:rPr>
        <w:t>　</w:t>
      </w:r>
      <w:r>
        <w:rPr>
          <w:rFonts w:hint="eastAsia" w:ascii="Times New Roman" w:eastAsia="宋体" w:cstheme="minorBidi"/>
          <w:bCs/>
          <w:kern w:val="2"/>
          <w:szCs w:val="32"/>
        </w:rPr>
        <w:t>考虑到钢管混凝土柱及钢梁后期施焊对构件受力影响较大，故此在方案阶段，应重视各专业之间的配合，避免二次装修、幕墙安装、设备安装等方面后期施工时，其二次构件与钢管混凝土柱及钢梁焊接连接。</w:t>
      </w:r>
      <w:bookmarkEnd w:id="298"/>
      <w:bookmarkEnd w:id="299"/>
    </w:p>
    <w:p>
      <w:pPr>
        <w:pStyle w:val="109"/>
        <w:numPr>
          <w:ilvl w:val="0"/>
          <w:numId w:val="0"/>
        </w:numPr>
        <w:spacing w:before="0" w:beforeLines="0" w:after="0" w:afterLines="0"/>
        <w:textAlignment w:val="center"/>
        <w:outlineLvl w:val="2"/>
        <w:rPr>
          <w:rFonts w:ascii="宋体" w:hAnsi="宋体" w:eastAsia="宋体"/>
          <w:color w:val="000000"/>
        </w:rPr>
      </w:pPr>
      <w:bookmarkStart w:id="300" w:name="_Toc185523573"/>
      <w:bookmarkStart w:id="301" w:name="_Toc186641541"/>
      <w:r>
        <w:rPr>
          <w:rFonts w:hAnsi="宋体"/>
          <w:color w:val="000000"/>
        </w:rPr>
        <w:t>5</w:t>
      </w:r>
      <w:r>
        <w:rPr>
          <w:rFonts w:hint="eastAsia" w:hAnsi="宋体"/>
          <w:color w:val="000000"/>
        </w:rPr>
        <w:t>.1.</w:t>
      </w:r>
      <w:r>
        <w:rPr>
          <w:rFonts w:hAnsi="宋体"/>
          <w:color w:val="000000"/>
        </w:rPr>
        <w:t>9</w:t>
      </w:r>
      <w:r>
        <w:rPr>
          <w:rFonts w:hint="eastAsia" w:ascii="Times New Roman" w:eastAsia="宋体"/>
          <w:color w:val="000000"/>
        </w:rPr>
        <w:t>　</w:t>
      </w:r>
      <w:r>
        <w:rPr>
          <w:rFonts w:hint="eastAsia" w:ascii="宋体" w:hAnsi="宋体" w:eastAsia="宋体"/>
          <w:color w:val="000000"/>
        </w:rPr>
        <w:t>免拆模壳由压型钢板、支撑件、拉结件以及钢筋混凝土柱-钢梁节点连接件组成，见下图所示。免拆模壳与柱钢筋宜在工厂一体化制造形成单个柱构件，便于实现工业化生产，亦可与钢梁一同实现装配化施工。</w:t>
      </w:r>
      <w:bookmarkEnd w:id="300"/>
      <w:bookmarkEnd w:id="301"/>
    </w:p>
    <w:p>
      <w:pPr>
        <w:pStyle w:val="109"/>
        <w:numPr>
          <w:ilvl w:val="0"/>
          <w:numId w:val="0"/>
        </w:numPr>
        <w:spacing w:before="0" w:beforeLines="0" w:after="0" w:afterLines="0"/>
        <w:textAlignment w:val="center"/>
        <w:outlineLvl w:val="2"/>
        <w:rPr>
          <w:rFonts w:ascii="宋体" w:hAnsi="宋体" w:eastAsia="宋体"/>
          <w:color w:val="000000"/>
        </w:rPr>
      </w:pPr>
      <w:bookmarkStart w:id="302" w:name="_Toc185523574"/>
      <w:bookmarkStart w:id="303" w:name="_Toc186641542"/>
      <w:r>
        <w:rPr>
          <w:rFonts w:hAnsi="宋体"/>
          <w:color w:val="000000"/>
        </w:rPr>
        <w:t>5</w:t>
      </w:r>
      <w:r>
        <w:rPr>
          <w:rFonts w:hint="eastAsia" w:hAnsi="宋体"/>
          <w:color w:val="000000"/>
        </w:rPr>
        <w:t>.1.</w:t>
      </w:r>
      <w:r>
        <w:rPr>
          <w:rFonts w:hAnsi="宋体"/>
          <w:color w:val="000000"/>
        </w:rPr>
        <w:t>10</w:t>
      </w:r>
      <w:r>
        <w:rPr>
          <w:rFonts w:hint="eastAsia" w:ascii="Times New Roman" w:eastAsia="宋体"/>
          <w:color w:val="000000"/>
        </w:rPr>
        <w:t>　</w:t>
      </w:r>
      <w:r>
        <w:rPr>
          <w:rFonts w:ascii="Times New Roman" w:eastAsia="宋体"/>
          <w:color w:val="000000"/>
        </w:rPr>
        <w:t>根据湖北省地方标准《装配式建筑评价标准》DB42/T 2179，本文件中钢管混凝土柱、钢梁均可纳入装配式构件中预制部件应用比例计算范围。</w:t>
      </w:r>
      <w:bookmarkEnd w:id="302"/>
      <w:bookmarkEnd w:id="303"/>
    </w:p>
    <w:p>
      <w:pPr>
        <w:pStyle w:val="108"/>
        <w:numPr>
          <w:ilvl w:val="1"/>
          <w:numId w:val="0"/>
        </w:numPr>
        <w:spacing w:before="240" w:after="240"/>
        <w:textAlignment w:val="center"/>
        <w:rPr>
          <w:color w:val="000000"/>
        </w:rPr>
      </w:pPr>
      <w:bookmarkStart w:id="304" w:name="_Toc185523575"/>
      <w:bookmarkStart w:id="305" w:name="_Toc185448863"/>
      <w:bookmarkStart w:id="306" w:name="_Toc185448953"/>
      <w:bookmarkStart w:id="307" w:name="_Toc186641543"/>
      <w:r>
        <w:rPr>
          <w:rFonts w:hAnsi="黑体"/>
        </w:rPr>
        <w:t>6</w:t>
      </w:r>
      <w:r>
        <w:rPr>
          <w:rFonts w:hint="eastAsia" w:hAnsi="黑体"/>
        </w:rPr>
        <w:t>　</w:t>
      </w:r>
      <w:r>
        <w:rPr>
          <w:rFonts w:hint="eastAsia"/>
          <w:color w:val="000000"/>
        </w:rPr>
        <w:t>材料</w:t>
      </w:r>
      <w:bookmarkEnd w:id="304"/>
      <w:bookmarkEnd w:id="305"/>
      <w:bookmarkEnd w:id="306"/>
      <w:bookmarkEnd w:id="307"/>
    </w:p>
    <w:p>
      <w:pPr>
        <w:pStyle w:val="109"/>
        <w:numPr>
          <w:ilvl w:val="0"/>
          <w:numId w:val="0"/>
        </w:numPr>
        <w:spacing w:before="120" w:after="120"/>
        <w:textAlignment w:val="center"/>
        <w:rPr>
          <w:rFonts w:ascii="Times New Roman" w:eastAsia="宋体"/>
          <w:color w:val="000000"/>
        </w:rPr>
      </w:pPr>
      <w:bookmarkStart w:id="308" w:name="_Toc185523576"/>
      <w:bookmarkStart w:id="309" w:name="_Toc186641544"/>
      <w:r>
        <w:rPr>
          <w:rFonts w:hAnsi="黑体"/>
          <w:color w:val="000000"/>
        </w:rPr>
        <w:t>6.1</w:t>
      </w:r>
      <w:r>
        <w:rPr>
          <w:rFonts w:hint="eastAsia" w:ascii="Times New Roman" w:eastAsia="宋体"/>
          <w:color w:val="000000"/>
        </w:rPr>
        <w:t>　</w:t>
      </w:r>
      <w:r>
        <w:rPr>
          <w:rFonts w:hint="eastAsia" w:hAnsi="黑体"/>
          <w:color w:val="000000"/>
        </w:rPr>
        <w:t>钢材</w:t>
      </w:r>
      <w:bookmarkEnd w:id="308"/>
      <w:bookmarkEnd w:id="309"/>
    </w:p>
    <w:p>
      <w:pPr>
        <w:pStyle w:val="109"/>
        <w:numPr>
          <w:ilvl w:val="0"/>
          <w:numId w:val="0"/>
        </w:numPr>
        <w:spacing w:before="0" w:beforeLines="0" w:after="0" w:afterLines="0"/>
        <w:textAlignment w:val="center"/>
        <w:outlineLvl w:val="2"/>
        <w:rPr>
          <w:rFonts w:ascii="Times New Roman" w:eastAsia="宋体" w:cstheme="minorBidi"/>
          <w:bCs/>
          <w:kern w:val="2"/>
          <w:szCs w:val="32"/>
        </w:rPr>
      </w:pPr>
      <w:bookmarkStart w:id="310" w:name="_Toc185523577"/>
      <w:bookmarkStart w:id="311" w:name="_Toc186641545"/>
      <w:r>
        <w:rPr>
          <w:rFonts w:hAnsi="宋体"/>
          <w:color w:val="000000"/>
        </w:rPr>
        <w:t>6</w:t>
      </w:r>
      <w:r>
        <w:rPr>
          <w:rFonts w:hint="eastAsia" w:hAnsi="宋体"/>
          <w:color w:val="000000"/>
        </w:rPr>
        <w:t>.1.</w:t>
      </w:r>
      <w:r>
        <w:rPr>
          <w:rFonts w:hAnsi="宋体"/>
          <w:color w:val="000000"/>
        </w:rPr>
        <w:t>2</w:t>
      </w:r>
      <w:r>
        <w:rPr>
          <w:rFonts w:hint="eastAsia" w:ascii="Times New Roman" w:eastAsia="宋体"/>
          <w:color w:val="000000"/>
        </w:rPr>
        <w:t>　</w:t>
      </w:r>
      <w:r>
        <w:rPr>
          <w:rFonts w:hint="eastAsia" w:ascii="Times New Roman" w:eastAsia="宋体" w:cstheme="minorBidi"/>
          <w:bCs/>
          <w:kern w:val="2"/>
          <w:szCs w:val="32"/>
        </w:rPr>
        <w:t>对钢材性能应要求满足屈服强度、伸长率、抗拉强度和硫磷含量。为了保证钢材的可焊性，对焊接结构的碳含量和冷弯性能提出了要求。根据现行国家标准《高层建筑民用钢结构技术规程》JGJ 99 的规定，对高层建筑用钢提出了冲击韧性的要求。</w:t>
      </w:r>
      <w:bookmarkEnd w:id="310"/>
      <w:bookmarkEnd w:id="311"/>
    </w:p>
    <w:p>
      <w:pPr>
        <w:pStyle w:val="109"/>
        <w:numPr>
          <w:ilvl w:val="0"/>
          <w:numId w:val="0"/>
        </w:numPr>
        <w:spacing w:before="0" w:beforeLines="0" w:after="0" w:afterLines="0"/>
        <w:textAlignment w:val="center"/>
        <w:outlineLvl w:val="2"/>
        <w:rPr>
          <w:rFonts w:ascii="宋体" w:hAnsi="宋体" w:eastAsia="宋体"/>
          <w:color w:val="000000"/>
        </w:rPr>
      </w:pPr>
      <w:bookmarkStart w:id="312" w:name="_Toc185523578"/>
      <w:bookmarkStart w:id="313" w:name="_Toc186641546"/>
      <w:r>
        <w:rPr>
          <w:rFonts w:hAnsi="宋体"/>
          <w:color w:val="000000"/>
        </w:rPr>
        <w:t>6</w:t>
      </w:r>
      <w:r>
        <w:rPr>
          <w:rFonts w:hint="eastAsia" w:hAnsi="宋体"/>
          <w:color w:val="000000"/>
        </w:rPr>
        <w:t>.1.</w:t>
      </w:r>
      <w:r>
        <w:rPr>
          <w:rFonts w:hAnsi="宋体"/>
          <w:color w:val="000000"/>
        </w:rPr>
        <w:t>3</w:t>
      </w:r>
      <w:r>
        <w:rPr>
          <w:rFonts w:hint="eastAsia" w:ascii="Times New Roman" w:eastAsia="宋体"/>
          <w:color w:val="000000"/>
        </w:rPr>
        <w:t>　</w:t>
      </w:r>
      <w:r>
        <w:rPr>
          <w:rFonts w:ascii="Times New Roman" w:eastAsia="宋体"/>
          <w:color w:val="000000"/>
        </w:rPr>
        <w:t>基于厚钢板存在各向异性，Z向性能指标较差，为此，对采用厚度等于或大于40mm 的钢板时，应满足现行国家标准《厚度方向性能钢板》GB/T 5313中有关Z15 级的断面收缩率指标的要求，它相当于硫含量（质量百分数）不超过0.01%。</w:t>
      </w:r>
      <w:bookmarkEnd w:id="312"/>
      <w:bookmarkEnd w:id="313"/>
    </w:p>
    <w:p>
      <w:pPr>
        <w:pStyle w:val="109"/>
        <w:numPr>
          <w:ilvl w:val="0"/>
          <w:numId w:val="0"/>
        </w:numPr>
        <w:spacing w:before="0" w:beforeLines="0" w:after="0" w:afterLines="0"/>
        <w:textAlignment w:val="center"/>
        <w:outlineLvl w:val="2"/>
        <w:rPr>
          <w:rFonts w:ascii="宋体" w:hAnsi="宋体" w:eastAsia="宋体"/>
          <w:color w:val="000000"/>
        </w:rPr>
      </w:pPr>
      <w:bookmarkStart w:id="314" w:name="_Toc186641547"/>
      <w:bookmarkStart w:id="315" w:name="_Toc185523579"/>
      <w:r>
        <w:rPr>
          <w:rFonts w:hAnsi="宋体"/>
          <w:color w:val="000000"/>
        </w:rPr>
        <w:t>6</w:t>
      </w:r>
      <w:r>
        <w:rPr>
          <w:rFonts w:hint="eastAsia" w:hAnsi="宋体"/>
          <w:color w:val="000000"/>
        </w:rPr>
        <w:t>.1.</w:t>
      </w:r>
      <w:r>
        <w:rPr>
          <w:rFonts w:hAnsi="宋体"/>
          <w:color w:val="000000"/>
        </w:rPr>
        <w:t>4</w:t>
      </w:r>
      <w:r>
        <w:rPr>
          <w:rFonts w:hint="eastAsia" w:ascii="Times New Roman" w:eastAsia="宋体"/>
          <w:color w:val="000000"/>
        </w:rPr>
        <w:t>　</w:t>
      </w:r>
      <w:r>
        <w:rPr>
          <w:rFonts w:ascii="Times New Roman" w:eastAsia="宋体"/>
          <w:color w:val="000000"/>
        </w:rPr>
        <w:t>地震区钢材性能应具有较好的延性，要求钢材的屈服强度和极限抗拉强度不能太接近，屈强比不应大于0.85，且有明显的屈服台阶、一定量的伸长率和良好的可焊性。</w:t>
      </w:r>
      <w:bookmarkEnd w:id="314"/>
      <w:bookmarkEnd w:id="315"/>
    </w:p>
    <w:p>
      <w:pPr>
        <w:pStyle w:val="109"/>
        <w:numPr>
          <w:ilvl w:val="0"/>
          <w:numId w:val="0"/>
        </w:numPr>
        <w:spacing w:before="0" w:beforeLines="0" w:after="0" w:afterLines="0"/>
        <w:textAlignment w:val="center"/>
        <w:outlineLvl w:val="2"/>
        <w:rPr>
          <w:rFonts w:ascii="宋体" w:hAnsi="宋体" w:eastAsia="宋体"/>
          <w:color w:val="000000"/>
        </w:rPr>
      </w:pPr>
      <w:bookmarkStart w:id="316" w:name="_Toc185523580"/>
      <w:bookmarkStart w:id="317" w:name="_Toc186641548"/>
      <w:r>
        <w:rPr>
          <w:rFonts w:hAnsi="宋体"/>
          <w:color w:val="000000"/>
        </w:rPr>
        <w:t>6</w:t>
      </w:r>
      <w:r>
        <w:rPr>
          <w:rFonts w:hint="eastAsia" w:hAnsi="宋体"/>
          <w:color w:val="000000"/>
        </w:rPr>
        <w:t>.1.</w:t>
      </w:r>
      <w:r>
        <w:rPr>
          <w:rFonts w:hAnsi="宋体"/>
          <w:color w:val="000000"/>
        </w:rPr>
        <w:t>5</w:t>
      </w:r>
      <w:r>
        <w:rPr>
          <w:rFonts w:hint="eastAsia" w:ascii="Times New Roman" w:eastAsia="宋体"/>
          <w:color w:val="000000"/>
        </w:rPr>
        <w:t>　</w:t>
      </w:r>
      <w:r>
        <w:rPr>
          <w:rFonts w:ascii="Times New Roman" w:eastAsia="宋体"/>
          <w:color w:val="000000"/>
        </w:rPr>
        <w:t>耐候钢是通过添加少量合金元素Cu、P、Cr、Ni等，使其在金属基体表面形成保护层，以提高耐大气腐蚀性能的钢。耐候结构钢分为高耐候钢和焊接耐候钢二类，高耐候结构钢具有较好的耐大气腐蚀性能，而焊接耐候钢具有较好的焊接性能。耐候结构钢的耐大气腐蚀性能为普通钢的2～8倍。</w:t>
      </w:r>
      <w:bookmarkEnd w:id="316"/>
      <w:bookmarkEnd w:id="317"/>
    </w:p>
    <w:p>
      <w:pPr>
        <w:pStyle w:val="109"/>
        <w:numPr>
          <w:ilvl w:val="0"/>
          <w:numId w:val="0"/>
        </w:numPr>
        <w:spacing w:before="120" w:after="120"/>
        <w:textAlignment w:val="center"/>
        <w:rPr>
          <w:rFonts w:ascii="Times New Roman" w:eastAsia="宋体"/>
          <w:color w:val="000000"/>
        </w:rPr>
      </w:pPr>
      <w:bookmarkStart w:id="318" w:name="_Toc186641549"/>
      <w:bookmarkStart w:id="319" w:name="_Toc185523581"/>
      <w:r>
        <w:rPr>
          <w:rFonts w:hAnsi="黑体"/>
          <w:color w:val="000000"/>
        </w:rPr>
        <w:t>6.3</w:t>
      </w:r>
      <w:r>
        <w:rPr>
          <w:rFonts w:hint="eastAsia" w:ascii="Times New Roman" w:eastAsia="宋体"/>
          <w:color w:val="000000"/>
        </w:rPr>
        <w:t>　</w:t>
      </w:r>
      <w:r>
        <w:rPr>
          <w:rFonts w:hint="eastAsia" w:hAnsi="黑体"/>
          <w:color w:val="000000"/>
        </w:rPr>
        <w:t>混凝土</w:t>
      </w:r>
      <w:bookmarkEnd w:id="318"/>
      <w:bookmarkEnd w:id="319"/>
    </w:p>
    <w:p>
      <w:pPr>
        <w:pStyle w:val="109"/>
        <w:numPr>
          <w:ilvl w:val="0"/>
          <w:numId w:val="0"/>
        </w:numPr>
        <w:spacing w:before="0" w:beforeLines="0" w:after="0" w:afterLines="0"/>
        <w:textAlignment w:val="center"/>
        <w:outlineLvl w:val="2"/>
        <w:rPr>
          <w:rFonts w:ascii="宋体" w:hAnsi="宋体" w:eastAsia="宋体"/>
          <w:color w:val="000000"/>
        </w:rPr>
      </w:pPr>
      <w:bookmarkStart w:id="320" w:name="_Toc186641550"/>
      <w:bookmarkStart w:id="321" w:name="_Toc185523582"/>
      <w:r>
        <w:rPr>
          <w:rFonts w:hAnsi="宋体"/>
          <w:color w:val="000000"/>
        </w:rPr>
        <w:t>6</w:t>
      </w:r>
      <w:r>
        <w:rPr>
          <w:rFonts w:hint="eastAsia" w:hAnsi="宋体"/>
          <w:color w:val="000000"/>
        </w:rPr>
        <w:t>.</w:t>
      </w:r>
      <w:r>
        <w:rPr>
          <w:rFonts w:hAnsi="宋体"/>
          <w:color w:val="000000"/>
        </w:rPr>
        <w:t>3</w:t>
      </w:r>
      <w:r>
        <w:rPr>
          <w:rFonts w:hint="eastAsia" w:hAnsi="宋体"/>
          <w:color w:val="000000"/>
        </w:rPr>
        <w:t>.</w:t>
      </w:r>
      <w:r>
        <w:rPr>
          <w:rFonts w:hAnsi="宋体"/>
          <w:color w:val="000000"/>
        </w:rPr>
        <w:t>3</w:t>
      </w:r>
      <w:r>
        <w:rPr>
          <w:rFonts w:hint="eastAsia" w:ascii="Times New Roman" w:eastAsia="宋体"/>
          <w:color w:val="000000"/>
        </w:rPr>
        <w:t>　</w:t>
      </w:r>
      <w:r>
        <w:rPr>
          <w:rFonts w:hint="eastAsia" w:ascii="宋体" w:hAnsi="宋体" w:eastAsia="宋体"/>
          <w:color w:val="000000"/>
        </w:rPr>
        <w:t>钢管混凝土构件和装配式钢筋混凝土柱构件优先采用自密实混凝土，当采用普通混凝土或再生骨料混凝土时，施工时应采取可靠措施，确保构件及节点区振捣密实。</w:t>
      </w:r>
      <w:bookmarkEnd w:id="320"/>
      <w:bookmarkEnd w:id="321"/>
    </w:p>
    <w:p>
      <w:pPr>
        <w:pStyle w:val="108"/>
        <w:numPr>
          <w:ilvl w:val="1"/>
          <w:numId w:val="0"/>
        </w:numPr>
        <w:spacing w:before="240" w:after="240"/>
        <w:textAlignment w:val="center"/>
        <w:rPr>
          <w:color w:val="000000"/>
        </w:rPr>
      </w:pPr>
      <w:bookmarkStart w:id="322" w:name="_Toc185523583"/>
      <w:bookmarkStart w:id="323" w:name="_Toc185448954"/>
      <w:bookmarkStart w:id="324" w:name="_Toc185448864"/>
      <w:bookmarkStart w:id="325" w:name="_Toc186641551"/>
      <w:r>
        <w:rPr>
          <w:rFonts w:hAnsi="黑体"/>
        </w:rPr>
        <w:t>7</w:t>
      </w:r>
      <w:r>
        <w:rPr>
          <w:rFonts w:hint="eastAsia" w:hAnsi="黑体"/>
        </w:rPr>
        <w:t>　</w:t>
      </w:r>
      <w:r>
        <w:rPr>
          <w:rFonts w:hint="eastAsia"/>
          <w:color w:val="000000"/>
        </w:rPr>
        <w:t>作用和作用组合</w:t>
      </w:r>
      <w:bookmarkEnd w:id="322"/>
      <w:bookmarkEnd w:id="323"/>
      <w:bookmarkEnd w:id="324"/>
      <w:bookmarkEnd w:id="325"/>
    </w:p>
    <w:p>
      <w:pPr>
        <w:pStyle w:val="109"/>
        <w:numPr>
          <w:ilvl w:val="0"/>
          <w:numId w:val="0"/>
        </w:numPr>
        <w:spacing w:before="120" w:after="120"/>
        <w:textAlignment w:val="center"/>
        <w:rPr>
          <w:rFonts w:ascii="Times New Roman" w:eastAsia="宋体"/>
          <w:color w:val="000000"/>
        </w:rPr>
      </w:pPr>
      <w:bookmarkStart w:id="326" w:name="_Toc185523584"/>
      <w:bookmarkStart w:id="327" w:name="_Toc186641552"/>
      <w:r>
        <w:rPr>
          <w:rFonts w:hAnsi="黑体"/>
          <w:color w:val="000000"/>
        </w:rPr>
        <w:t>7.1</w:t>
      </w:r>
      <w:r>
        <w:rPr>
          <w:rFonts w:hint="eastAsia" w:ascii="Times New Roman" w:eastAsia="宋体"/>
          <w:color w:val="000000"/>
        </w:rPr>
        <w:t>　</w:t>
      </w:r>
      <w:r>
        <w:rPr>
          <w:rFonts w:hint="eastAsia" w:hAnsi="黑体"/>
          <w:color w:val="000000"/>
        </w:rPr>
        <w:t>一般规定</w:t>
      </w:r>
      <w:bookmarkEnd w:id="326"/>
      <w:bookmarkEnd w:id="327"/>
    </w:p>
    <w:p>
      <w:pPr>
        <w:pStyle w:val="109"/>
        <w:numPr>
          <w:ilvl w:val="0"/>
          <w:numId w:val="0"/>
        </w:numPr>
        <w:spacing w:before="0" w:beforeLines="0" w:after="0" w:afterLines="0"/>
        <w:textAlignment w:val="center"/>
        <w:outlineLvl w:val="2"/>
        <w:rPr>
          <w:rFonts w:ascii="宋体" w:hAnsi="宋体" w:eastAsia="宋体"/>
          <w:color w:val="000000"/>
        </w:rPr>
      </w:pPr>
      <w:bookmarkStart w:id="328" w:name="_Toc185523585"/>
      <w:bookmarkStart w:id="329" w:name="_Toc186641553"/>
      <w:r>
        <w:rPr>
          <w:rFonts w:hAnsi="宋体"/>
          <w:color w:val="000000"/>
        </w:rPr>
        <w:t>7</w:t>
      </w:r>
      <w:r>
        <w:rPr>
          <w:rFonts w:hint="eastAsia" w:hAnsi="宋体"/>
          <w:color w:val="000000"/>
        </w:rPr>
        <w:t>.1.</w:t>
      </w:r>
      <w:r>
        <w:rPr>
          <w:rFonts w:hAnsi="宋体"/>
          <w:color w:val="000000"/>
        </w:rPr>
        <w:t>4</w:t>
      </w:r>
      <w:r>
        <w:rPr>
          <w:rFonts w:hint="eastAsia" w:ascii="Times New Roman" w:eastAsia="宋体"/>
          <w:color w:val="000000"/>
        </w:rPr>
        <w:t>　</w:t>
      </w:r>
      <w:r>
        <w:rPr>
          <w:rFonts w:ascii="Times New Roman" w:eastAsia="宋体"/>
          <w:color w:val="000000"/>
        </w:rPr>
        <w:t>根据《装配式混凝土结构技术规程》JGJ 1相关规定，构件运输、吊运时，动力系数宜取1.5；构件翻转及安装过程中就位、临时固定时，动力系数可取1.2。</w:t>
      </w:r>
      <w:bookmarkEnd w:id="328"/>
      <w:bookmarkEnd w:id="329"/>
    </w:p>
    <w:p>
      <w:pPr>
        <w:pStyle w:val="109"/>
        <w:numPr>
          <w:ilvl w:val="0"/>
          <w:numId w:val="0"/>
        </w:numPr>
        <w:spacing w:before="120" w:after="120"/>
        <w:textAlignment w:val="center"/>
        <w:rPr>
          <w:rFonts w:ascii="Times New Roman" w:eastAsia="宋体"/>
          <w:color w:val="000000"/>
        </w:rPr>
      </w:pPr>
      <w:bookmarkStart w:id="330" w:name="_Toc186641554"/>
      <w:bookmarkStart w:id="331" w:name="_Toc185523586"/>
      <w:r>
        <w:rPr>
          <w:rFonts w:hAnsi="黑体"/>
          <w:color w:val="000000"/>
        </w:rPr>
        <w:t>7.4</w:t>
      </w:r>
      <w:r>
        <w:rPr>
          <w:rFonts w:hint="eastAsia" w:ascii="Times New Roman" w:eastAsia="宋体"/>
          <w:color w:val="000000"/>
        </w:rPr>
        <w:t>　</w:t>
      </w:r>
      <w:r>
        <w:rPr>
          <w:rFonts w:hint="eastAsia" w:hAnsi="黑体"/>
          <w:color w:val="000000"/>
        </w:rPr>
        <w:t>风荷载</w:t>
      </w:r>
      <w:bookmarkEnd w:id="330"/>
      <w:bookmarkEnd w:id="331"/>
    </w:p>
    <w:p>
      <w:pPr>
        <w:pStyle w:val="109"/>
        <w:numPr>
          <w:ilvl w:val="0"/>
          <w:numId w:val="0"/>
        </w:numPr>
        <w:spacing w:before="0" w:beforeLines="0" w:after="0" w:afterLines="0"/>
        <w:textAlignment w:val="center"/>
        <w:outlineLvl w:val="2"/>
        <w:rPr>
          <w:rFonts w:ascii="宋体" w:hAnsi="宋体" w:eastAsia="宋体"/>
          <w:color w:val="000000"/>
        </w:rPr>
      </w:pPr>
      <w:bookmarkStart w:id="332" w:name="_Toc185523587"/>
      <w:bookmarkStart w:id="333" w:name="_Toc186641555"/>
      <w:r>
        <w:rPr>
          <w:rFonts w:hAnsi="宋体"/>
          <w:color w:val="000000"/>
        </w:rPr>
        <w:t>7</w:t>
      </w:r>
      <w:r>
        <w:rPr>
          <w:rFonts w:hint="eastAsia" w:hAnsi="宋体"/>
          <w:color w:val="000000"/>
        </w:rPr>
        <w:t>.</w:t>
      </w:r>
      <w:r>
        <w:rPr>
          <w:rFonts w:hAnsi="宋体"/>
          <w:color w:val="000000"/>
        </w:rPr>
        <w:t>4</w:t>
      </w:r>
      <w:r>
        <w:rPr>
          <w:rFonts w:hint="eastAsia" w:hAnsi="宋体"/>
          <w:color w:val="000000"/>
        </w:rPr>
        <w:t>.</w:t>
      </w:r>
      <w:r>
        <w:rPr>
          <w:rFonts w:hAnsi="宋体"/>
          <w:color w:val="000000"/>
        </w:rPr>
        <w:t>1</w:t>
      </w:r>
      <w:r>
        <w:rPr>
          <w:rFonts w:hint="eastAsia" w:ascii="Times New Roman" w:eastAsia="宋体"/>
          <w:color w:val="000000"/>
        </w:rPr>
        <w:t>　</w:t>
      </w:r>
      <w:r>
        <w:rPr>
          <w:rFonts w:ascii="Times New Roman" w:eastAsia="宋体"/>
          <w:color w:val="000000"/>
        </w:rPr>
        <w:t>本条规定了风荷载的确定方法。风荷载脉动的增大效应，一般是通过平均风荷载乘以风振系数或阵风系数来考虑的，但也可以采用平均风荷载与脉动风荷载相叠加的方法来考虑。因此，本条未直接采用《建筑结构荷载规范》GB 50009的计算表达式，而是规定了计算风荷载标准值的基本原则。</w:t>
      </w:r>
      <w:bookmarkEnd w:id="332"/>
      <w:bookmarkEnd w:id="333"/>
    </w:p>
    <w:p>
      <w:pPr>
        <w:pStyle w:val="109"/>
        <w:numPr>
          <w:ilvl w:val="0"/>
          <w:numId w:val="0"/>
        </w:numPr>
        <w:spacing w:before="0" w:beforeLines="0" w:after="0" w:afterLines="0"/>
        <w:textAlignment w:val="center"/>
        <w:outlineLvl w:val="2"/>
        <w:rPr>
          <w:rFonts w:ascii="宋体" w:hAnsi="宋体" w:eastAsia="宋体"/>
          <w:color w:val="000000"/>
        </w:rPr>
      </w:pPr>
      <w:bookmarkStart w:id="334" w:name="_Toc185523588"/>
      <w:bookmarkStart w:id="335" w:name="_Toc186641556"/>
      <w:r>
        <w:rPr>
          <w:rFonts w:hAnsi="宋体"/>
          <w:color w:val="000000"/>
        </w:rPr>
        <w:t>7</w:t>
      </w:r>
      <w:r>
        <w:rPr>
          <w:rFonts w:hint="eastAsia" w:hAnsi="宋体"/>
          <w:color w:val="000000"/>
        </w:rPr>
        <w:t>.</w:t>
      </w:r>
      <w:r>
        <w:rPr>
          <w:rFonts w:hAnsi="宋体"/>
          <w:color w:val="000000"/>
        </w:rPr>
        <w:t>4</w:t>
      </w:r>
      <w:r>
        <w:rPr>
          <w:rFonts w:hint="eastAsia" w:hAnsi="宋体"/>
          <w:color w:val="000000"/>
        </w:rPr>
        <w:t>.</w:t>
      </w:r>
      <w:r>
        <w:rPr>
          <w:rFonts w:hAnsi="宋体"/>
          <w:color w:val="000000"/>
        </w:rPr>
        <w:t>2</w:t>
      </w:r>
      <w:r>
        <w:rPr>
          <w:rFonts w:hint="eastAsia" w:ascii="Times New Roman" w:eastAsia="宋体"/>
          <w:color w:val="000000"/>
        </w:rPr>
        <w:t>　</w:t>
      </w:r>
      <w:r>
        <w:rPr>
          <w:rFonts w:ascii="Times New Roman" w:eastAsia="宋体"/>
          <w:color w:val="000000"/>
        </w:rPr>
        <w:t>对于房屋高度大于60m的高层建筑，承载力设计时风荷载计算可按基本风压的1.1倍采用；对于房屋高度不超过60m的高层建筑，风荷载取值是否提高，可由设计人员根据实际情况确定。</w:t>
      </w:r>
      <w:bookmarkEnd w:id="334"/>
      <w:bookmarkEnd w:id="335"/>
    </w:p>
    <w:p>
      <w:pPr>
        <w:pStyle w:val="109"/>
        <w:numPr>
          <w:ilvl w:val="0"/>
          <w:numId w:val="0"/>
        </w:numPr>
        <w:spacing w:before="0" w:beforeLines="0" w:after="0" w:afterLines="0"/>
        <w:textAlignment w:val="center"/>
        <w:outlineLvl w:val="2"/>
        <w:rPr>
          <w:rFonts w:ascii="宋体" w:hAnsi="宋体" w:eastAsia="宋体"/>
          <w:color w:val="000000"/>
        </w:rPr>
      </w:pPr>
      <w:bookmarkStart w:id="336" w:name="_Toc185523589"/>
      <w:bookmarkStart w:id="337" w:name="_Toc186641557"/>
      <w:r>
        <w:rPr>
          <w:rFonts w:hAnsi="宋体"/>
          <w:color w:val="000000"/>
        </w:rPr>
        <w:t>7</w:t>
      </w:r>
      <w:r>
        <w:rPr>
          <w:rFonts w:hint="eastAsia" w:hAnsi="宋体"/>
          <w:color w:val="000000"/>
        </w:rPr>
        <w:t>.</w:t>
      </w:r>
      <w:r>
        <w:rPr>
          <w:rFonts w:hAnsi="宋体"/>
          <w:color w:val="000000"/>
        </w:rPr>
        <w:t>4</w:t>
      </w:r>
      <w:r>
        <w:rPr>
          <w:rFonts w:hint="eastAsia" w:hAnsi="宋体"/>
          <w:color w:val="000000"/>
        </w:rPr>
        <w:t>.</w:t>
      </w:r>
      <w:r>
        <w:rPr>
          <w:rFonts w:hAnsi="宋体"/>
          <w:color w:val="000000"/>
        </w:rPr>
        <w:t>3</w:t>
      </w:r>
      <w:r>
        <w:rPr>
          <w:rFonts w:hint="eastAsia" w:ascii="Times New Roman" w:eastAsia="宋体"/>
          <w:color w:val="000000"/>
        </w:rPr>
        <w:t>　</w:t>
      </w:r>
      <w:r>
        <w:rPr>
          <w:rFonts w:ascii="Times New Roman" w:eastAsia="宋体"/>
          <w:color w:val="000000"/>
        </w:rPr>
        <w:t>对建筑群，尤其是高层建筑群，当房屋相互间距较近时，由于旋涡的相互干扰，房屋某些部位的局部风压会显著增大，设计时应予注意，一般可将单栋建筑的体型系数</w:t>
      </w:r>
      <w:r>
        <w:rPr>
          <w:rFonts w:ascii="Times New Roman" w:eastAsia="宋体"/>
          <w:i/>
          <w:color w:val="000000"/>
        </w:rPr>
        <w:t>μ</w:t>
      </w:r>
      <w:r>
        <w:rPr>
          <w:rFonts w:ascii="Times New Roman" w:eastAsia="宋体"/>
          <w:color w:val="000000"/>
          <w:vertAlign w:val="subscript"/>
        </w:rPr>
        <w:t>s</w:t>
      </w:r>
      <w:r>
        <w:rPr>
          <w:rFonts w:ascii="Times New Roman" w:eastAsia="宋体"/>
          <w:color w:val="000000"/>
        </w:rPr>
        <w:t>乘以相互干扰增大系数，该系数可参考类似条件的试验资料确定。对比较重要的高层建筑，建议在风洞试验中考虑周围建筑物的干扰因素。本条所说的风洞试验是指边界层风洞试验。</w:t>
      </w:r>
      <w:bookmarkEnd w:id="336"/>
      <w:bookmarkEnd w:id="337"/>
    </w:p>
    <w:p>
      <w:pPr>
        <w:pStyle w:val="109"/>
        <w:numPr>
          <w:ilvl w:val="0"/>
          <w:numId w:val="0"/>
        </w:numPr>
        <w:spacing w:before="0" w:beforeLines="0" w:after="0" w:afterLines="0"/>
        <w:textAlignment w:val="center"/>
        <w:outlineLvl w:val="2"/>
        <w:rPr>
          <w:rFonts w:ascii="宋体" w:hAnsi="宋体" w:eastAsia="宋体"/>
          <w:color w:val="000000"/>
        </w:rPr>
      </w:pPr>
      <w:bookmarkStart w:id="338" w:name="_Toc185523590"/>
      <w:bookmarkStart w:id="339" w:name="_Toc186641558"/>
      <w:r>
        <w:rPr>
          <w:rFonts w:hAnsi="宋体"/>
          <w:color w:val="000000"/>
        </w:rPr>
        <w:t>7</w:t>
      </w:r>
      <w:r>
        <w:rPr>
          <w:rFonts w:hint="eastAsia" w:hAnsi="宋体"/>
          <w:color w:val="000000"/>
        </w:rPr>
        <w:t>.</w:t>
      </w:r>
      <w:r>
        <w:rPr>
          <w:rFonts w:hAnsi="宋体"/>
          <w:color w:val="000000"/>
        </w:rPr>
        <w:t>4</w:t>
      </w:r>
      <w:r>
        <w:rPr>
          <w:rFonts w:hint="eastAsia" w:hAnsi="宋体"/>
          <w:color w:val="000000"/>
        </w:rPr>
        <w:t>.</w:t>
      </w:r>
      <w:r>
        <w:rPr>
          <w:rFonts w:hAnsi="宋体"/>
          <w:color w:val="000000"/>
        </w:rPr>
        <w:t>4</w:t>
      </w:r>
      <w:r>
        <w:rPr>
          <w:rFonts w:hint="eastAsia" w:ascii="Times New Roman" w:eastAsia="宋体"/>
          <w:color w:val="000000"/>
        </w:rPr>
        <w:t>　</w:t>
      </w:r>
      <w:r>
        <w:rPr>
          <w:rFonts w:hint="eastAsia" w:ascii="宋体" w:hAnsi="宋体" w:eastAsia="宋体"/>
          <w:color w:val="000000"/>
        </w:rPr>
        <w:t>考虑结构横风向风振或扭转风振对高层建筑尤其是超高层建筑的影响。当结构高宽比较大、结构顶点风速大于临界风速时，可能引起较明显的结构横风向振动，甚至出现横风向振动效应大于顺风向作用效应的情况。结构横风向振动问题比较复杂，与结构的平面形状、竖向体型、高宽比、刚度、自振周期和风速都有一定关系。当结构体型复杂时，宜通过空气弹性模型的风洞试验确定横风向振动的等效风荷载；也可参考有关资料确定。</w:t>
      </w:r>
      <w:bookmarkEnd w:id="338"/>
      <w:bookmarkEnd w:id="339"/>
    </w:p>
    <w:p>
      <w:pPr>
        <w:pStyle w:val="109"/>
        <w:numPr>
          <w:ilvl w:val="0"/>
          <w:numId w:val="0"/>
        </w:numPr>
        <w:spacing w:before="0" w:beforeLines="0" w:after="0" w:afterLines="0"/>
        <w:textAlignment w:val="center"/>
        <w:outlineLvl w:val="2"/>
        <w:rPr>
          <w:rFonts w:ascii="宋体" w:hAnsi="宋体" w:eastAsia="宋体"/>
          <w:color w:val="000000"/>
        </w:rPr>
      </w:pPr>
      <w:bookmarkStart w:id="340" w:name="_Toc185523591"/>
      <w:bookmarkStart w:id="341" w:name="_Toc186641559"/>
      <w:r>
        <w:rPr>
          <w:rFonts w:hAnsi="宋体"/>
          <w:color w:val="000000"/>
        </w:rPr>
        <w:t>7</w:t>
      </w:r>
      <w:r>
        <w:rPr>
          <w:rFonts w:hint="eastAsia" w:hAnsi="宋体"/>
          <w:color w:val="000000"/>
        </w:rPr>
        <w:t>.</w:t>
      </w:r>
      <w:r>
        <w:rPr>
          <w:rFonts w:hAnsi="宋体"/>
          <w:color w:val="000000"/>
        </w:rPr>
        <w:t>4</w:t>
      </w:r>
      <w:r>
        <w:rPr>
          <w:rFonts w:hint="eastAsia" w:hAnsi="宋体"/>
          <w:color w:val="000000"/>
        </w:rPr>
        <w:t>.</w:t>
      </w:r>
      <w:r>
        <w:rPr>
          <w:rFonts w:hAnsi="宋体"/>
          <w:color w:val="000000"/>
        </w:rPr>
        <w:t>5</w:t>
      </w:r>
      <w:r>
        <w:rPr>
          <w:rFonts w:hint="eastAsia" w:ascii="Times New Roman" w:eastAsia="宋体"/>
          <w:color w:val="000000"/>
        </w:rPr>
        <w:t>　</w:t>
      </w:r>
      <w:r>
        <w:rPr>
          <w:rFonts w:ascii="Times New Roman" w:eastAsia="宋体"/>
          <w:color w:val="000000"/>
        </w:rPr>
        <w:t>参考广东省标准《高层建筑混凝土结构技术规程》DBJ/T 15-92相关规定。</w:t>
      </w:r>
      <w:bookmarkEnd w:id="340"/>
      <w:bookmarkEnd w:id="341"/>
    </w:p>
    <w:p>
      <w:pPr>
        <w:pStyle w:val="108"/>
        <w:numPr>
          <w:ilvl w:val="1"/>
          <w:numId w:val="0"/>
        </w:numPr>
        <w:spacing w:before="240" w:after="240"/>
        <w:textAlignment w:val="center"/>
        <w:rPr>
          <w:color w:val="000000"/>
        </w:rPr>
      </w:pPr>
      <w:bookmarkStart w:id="342" w:name="_Toc185523592"/>
      <w:bookmarkStart w:id="343" w:name="_Toc185448865"/>
      <w:bookmarkStart w:id="344" w:name="_Toc185448955"/>
      <w:bookmarkStart w:id="345" w:name="_Toc186641560"/>
      <w:r>
        <w:rPr>
          <w:rFonts w:hAnsi="黑体"/>
        </w:rPr>
        <w:t>8</w:t>
      </w:r>
      <w:r>
        <w:rPr>
          <w:rFonts w:hint="eastAsia" w:hAnsi="黑体"/>
        </w:rPr>
        <w:t>　</w:t>
      </w:r>
      <w:r>
        <w:rPr>
          <w:rFonts w:hint="eastAsia"/>
          <w:color w:val="000000"/>
        </w:rPr>
        <w:t>结构分析</w:t>
      </w:r>
      <w:bookmarkEnd w:id="342"/>
      <w:bookmarkEnd w:id="343"/>
      <w:bookmarkEnd w:id="344"/>
      <w:bookmarkEnd w:id="345"/>
    </w:p>
    <w:p>
      <w:pPr>
        <w:pStyle w:val="109"/>
        <w:numPr>
          <w:ilvl w:val="0"/>
          <w:numId w:val="0"/>
        </w:numPr>
        <w:spacing w:before="120" w:after="120"/>
        <w:textAlignment w:val="center"/>
        <w:rPr>
          <w:rFonts w:ascii="Times New Roman" w:eastAsia="宋体"/>
          <w:color w:val="000000"/>
        </w:rPr>
      </w:pPr>
      <w:bookmarkStart w:id="346" w:name="_Toc185523593"/>
      <w:bookmarkStart w:id="347" w:name="_Toc186641561"/>
      <w:r>
        <w:rPr>
          <w:rFonts w:hAnsi="黑体"/>
          <w:color w:val="000000"/>
        </w:rPr>
        <w:t>8.1</w:t>
      </w:r>
      <w:r>
        <w:rPr>
          <w:rFonts w:hint="eastAsia" w:ascii="Times New Roman" w:eastAsia="宋体"/>
          <w:color w:val="000000"/>
        </w:rPr>
        <w:t>　</w:t>
      </w:r>
      <w:r>
        <w:rPr>
          <w:rFonts w:hint="eastAsia" w:hAnsi="黑体"/>
          <w:color w:val="000000"/>
        </w:rPr>
        <w:t>一般规定</w:t>
      </w:r>
      <w:bookmarkEnd w:id="346"/>
      <w:bookmarkEnd w:id="347"/>
    </w:p>
    <w:p>
      <w:pPr>
        <w:pStyle w:val="109"/>
        <w:numPr>
          <w:ilvl w:val="0"/>
          <w:numId w:val="0"/>
        </w:numPr>
        <w:spacing w:before="0" w:beforeLines="0" w:after="0" w:afterLines="0"/>
        <w:textAlignment w:val="center"/>
        <w:outlineLvl w:val="2"/>
        <w:rPr>
          <w:rFonts w:ascii="宋体" w:hAnsi="宋体" w:eastAsia="宋体"/>
          <w:color w:val="000000"/>
        </w:rPr>
      </w:pPr>
      <w:bookmarkStart w:id="348" w:name="_Toc185523594"/>
      <w:bookmarkStart w:id="349" w:name="_Toc186641562"/>
      <w:r>
        <w:rPr>
          <w:rFonts w:hAnsi="宋体"/>
          <w:color w:val="000000"/>
        </w:rPr>
        <w:t>8</w:t>
      </w:r>
      <w:r>
        <w:rPr>
          <w:rFonts w:hint="eastAsia" w:hAnsi="宋体"/>
          <w:color w:val="000000"/>
        </w:rPr>
        <w:t>.1.</w:t>
      </w:r>
      <w:r>
        <w:rPr>
          <w:rFonts w:hAnsi="宋体"/>
          <w:color w:val="000000"/>
        </w:rPr>
        <w:t>6</w:t>
      </w:r>
      <w:r>
        <w:rPr>
          <w:rFonts w:hint="eastAsia" w:ascii="Times New Roman" w:eastAsia="宋体"/>
          <w:color w:val="000000"/>
        </w:rPr>
        <w:t>　</w:t>
      </w:r>
      <w:r>
        <w:rPr>
          <w:rFonts w:hint="eastAsia" w:ascii="宋体" w:hAnsi="宋体" w:eastAsia="宋体"/>
          <w:color w:val="000000"/>
        </w:rPr>
        <w:t>结构整体弹性分析时，组合构件截面轴向刚度、抗弯刚度、抗剪刚度可忽略节点区开孔和钢板加厚的影响。</w:t>
      </w:r>
      <w:bookmarkEnd w:id="348"/>
      <w:bookmarkEnd w:id="349"/>
    </w:p>
    <w:p>
      <w:pPr>
        <w:pStyle w:val="109"/>
        <w:numPr>
          <w:ilvl w:val="0"/>
          <w:numId w:val="0"/>
        </w:numPr>
        <w:spacing w:before="120" w:after="120"/>
        <w:textAlignment w:val="center"/>
        <w:rPr>
          <w:rFonts w:ascii="Times New Roman" w:eastAsia="宋体"/>
          <w:color w:val="000000"/>
        </w:rPr>
      </w:pPr>
      <w:bookmarkStart w:id="350" w:name="_Toc185523595"/>
      <w:bookmarkStart w:id="351" w:name="_Toc186641563"/>
      <w:r>
        <w:rPr>
          <w:rFonts w:hAnsi="黑体"/>
          <w:color w:val="000000"/>
        </w:rPr>
        <w:t>8.2</w:t>
      </w:r>
      <w:r>
        <w:rPr>
          <w:rFonts w:hint="eastAsia" w:ascii="Times New Roman" w:eastAsia="宋体"/>
          <w:color w:val="000000"/>
        </w:rPr>
        <w:t>　</w:t>
      </w:r>
      <w:r>
        <w:rPr>
          <w:rFonts w:hint="eastAsia" w:hAnsi="黑体"/>
          <w:color w:val="000000"/>
        </w:rPr>
        <w:t>分析模型</w:t>
      </w:r>
      <w:bookmarkEnd w:id="350"/>
      <w:bookmarkEnd w:id="351"/>
    </w:p>
    <w:p>
      <w:pPr>
        <w:pStyle w:val="109"/>
        <w:numPr>
          <w:ilvl w:val="0"/>
          <w:numId w:val="0"/>
        </w:numPr>
        <w:spacing w:before="0" w:beforeLines="0" w:after="0" w:afterLines="0"/>
        <w:textAlignment w:val="center"/>
        <w:outlineLvl w:val="2"/>
        <w:rPr>
          <w:rFonts w:ascii="宋体" w:hAnsi="宋体" w:eastAsia="宋体"/>
          <w:color w:val="000000"/>
        </w:rPr>
      </w:pPr>
      <w:bookmarkStart w:id="352" w:name="_Toc185523596"/>
      <w:bookmarkStart w:id="353" w:name="_Toc186641564"/>
      <w:r>
        <w:rPr>
          <w:rFonts w:hAnsi="宋体"/>
          <w:color w:val="000000"/>
        </w:rPr>
        <w:t>8</w:t>
      </w:r>
      <w:r>
        <w:rPr>
          <w:rFonts w:hint="eastAsia" w:hAnsi="宋体"/>
          <w:color w:val="000000"/>
        </w:rPr>
        <w:t>.</w:t>
      </w:r>
      <w:r>
        <w:rPr>
          <w:rFonts w:hAnsi="宋体"/>
          <w:color w:val="000000"/>
        </w:rPr>
        <w:t>2</w:t>
      </w:r>
      <w:r>
        <w:rPr>
          <w:rFonts w:hint="eastAsia" w:hAnsi="宋体"/>
          <w:color w:val="000000"/>
        </w:rPr>
        <w:t>.</w:t>
      </w:r>
      <w:r>
        <w:rPr>
          <w:rFonts w:hAnsi="宋体"/>
          <w:color w:val="000000"/>
        </w:rPr>
        <w:t>6</w:t>
      </w:r>
      <w:r>
        <w:rPr>
          <w:rFonts w:hint="eastAsia" w:ascii="Times New Roman" w:eastAsia="宋体"/>
          <w:color w:val="000000"/>
        </w:rPr>
        <w:t>　</w:t>
      </w:r>
      <w:r>
        <w:rPr>
          <w:rFonts w:ascii="Times New Roman" w:eastAsia="宋体"/>
          <w:color w:val="000000"/>
        </w:rPr>
        <w:t>对于混凝土梁，放大系数可根据楼板厚度，按《混凝土结构设计标准》进行取值，中梁放大系数可取为2.0，边梁可取为1.5；对于钢梁可按《高层民用建筑钢结构技术规程》要求，中梁刚度放大系数可取为1.5，边梁可取为1.2。对于有现浇面层的装配式楼面梁的刚度增大系数可适当减小，可按《高层建筑混凝土结构技术规程》要求，中梁刚度放大系数上限可取为1.8，边梁可取为1.4。如遇上翻梁，应在特殊构件定义中降低该梁中梁刚度放大系数。对于装配式结构梁边叠合板情况，对于无现浇楼面的装配式楼盖，不宜考虑楼面梁刚度的增大。</w:t>
      </w:r>
      <w:bookmarkEnd w:id="352"/>
      <w:bookmarkEnd w:id="353"/>
    </w:p>
    <w:p>
      <w:pPr>
        <w:pStyle w:val="108"/>
        <w:numPr>
          <w:ilvl w:val="1"/>
          <w:numId w:val="0"/>
        </w:numPr>
        <w:spacing w:before="240" w:after="240"/>
        <w:textAlignment w:val="center"/>
        <w:rPr>
          <w:color w:val="000000"/>
        </w:rPr>
      </w:pPr>
      <w:bookmarkStart w:id="354" w:name="_Toc186641565"/>
      <w:bookmarkStart w:id="355" w:name="_Toc185448956"/>
      <w:bookmarkStart w:id="356" w:name="_Toc185523597"/>
      <w:bookmarkStart w:id="357" w:name="_Toc185448866"/>
      <w:r>
        <w:rPr>
          <w:rFonts w:hAnsi="黑体"/>
        </w:rPr>
        <w:t>9</w:t>
      </w:r>
      <w:r>
        <w:rPr>
          <w:rFonts w:hint="eastAsia" w:hAnsi="黑体"/>
        </w:rPr>
        <w:t>　</w:t>
      </w:r>
      <w:r>
        <w:rPr>
          <w:rFonts w:hint="eastAsia"/>
          <w:color w:val="000000"/>
        </w:rPr>
        <w:t>结构设计</w:t>
      </w:r>
      <w:bookmarkEnd w:id="354"/>
      <w:bookmarkEnd w:id="355"/>
      <w:bookmarkEnd w:id="356"/>
      <w:bookmarkEnd w:id="357"/>
    </w:p>
    <w:p>
      <w:pPr>
        <w:pStyle w:val="109"/>
        <w:numPr>
          <w:ilvl w:val="0"/>
          <w:numId w:val="0"/>
        </w:numPr>
        <w:spacing w:before="120" w:after="120"/>
        <w:textAlignment w:val="center"/>
        <w:rPr>
          <w:rFonts w:ascii="Times New Roman" w:eastAsia="宋体"/>
          <w:color w:val="000000"/>
        </w:rPr>
      </w:pPr>
      <w:bookmarkStart w:id="358" w:name="_Toc186641566"/>
      <w:bookmarkStart w:id="359" w:name="_Toc185523598"/>
      <w:r>
        <w:rPr>
          <w:rFonts w:hAnsi="黑体"/>
          <w:color w:val="000000"/>
        </w:rPr>
        <w:t>9.1</w:t>
      </w:r>
      <w:r>
        <w:rPr>
          <w:rFonts w:hint="eastAsia" w:ascii="Times New Roman" w:eastAsia="宋体"/>
          <w:color w:val="000000"/>
        </w:rPr>
        <w:t>　</w:t>
      </w:r>
      <w:r>
        <w:rPr>
          <w:rFonts w:hint="eastAsia" w:hAnsi="黑体"/>
          <w:color w:val="000000"/>
        </w:rPr>
        <w:t>一般规定</w:t>
      </w:r>
      <w:bookmarkEnd w:id="358"/>
      <w:bookmarkEnd w:id="359"/>
    </w:p>
    <w:p>
      <w:pPr>
        <w:pStyle w:val="109"/>
        <w:numPr>
          <w:ilvl w:val="0"/>
          <w:numId w:val="0"/>
        </w:numPr>
        <w:spacing w:before="0" w:beforeLines="0" w:after="0" w:afterLines="0"/>
        <w:textAlignment w:val="center"/>
        <w:outlineLvl w:val="2"/>
        <w:rPr>
          <w:rFonts w:ascii="宋体" w:hAnsi="宋体" w:eastAsia="宋体"/>
          <w:color w:val="000000"/>
        </w:rPr>
      </w:pPr>
      <w:bookmarkStart w:id="360" w:name="_Toc185523599"/>
      <w:bookmarkStart w:id="361" w:name="_Toc186641567"/>
      <w:r>
        <w:rPr>
          <w:rFonts w:hAnsi="宋体"/>
          <w:color w:val="000000"/>
        </w:rPr>
        <w:t>9</w:t>
      </w:r>
      <w:r>
        <w:rPr>
          <w:rFonts w:hint="eastAsia" w:hAnsi="宋体"/>
          <w:color w:val="000000"/>
        </w:rPr>
        <w:t>.1.</w:t>
      </w:r>
      <w:r>
        <w:rPr>
          <w:rFonts w:hAnsi="宋体"/>
          <w:color w:val="000000"/>
        </w:rPr>
        <w:t>5</w:t>
      </w:r>
      <w:r>
        <w:rPr>
          <w:rFonts w:hint="eastAsia" w:ascii="Times New Roman" w:eastAsia="宋体"/>
          <w:color w:val="000000"/>
        </w:rPr>
        <w:t>　</w:t>
      </w:r>
      <w:r>
        <w:rPr>
          <w:rFonts w:ascii="Times New Roman" w:eastAsia="宋体"/>
          <w:color w:val="000000"/>
        </w:rPr>
        <w:t>由于本文件规定CFRST-RB、CFCST-RB结构，其梁、板仍为钢筋混凝土构件，仅仅框架柱部分或全部采用钢管混凝土柱，故此阻尼比建议按钢筋混凝土结构取值；对于框架柱采用钢管混凝土柱的柱体积比大于40%或高度超过100m时，其阻尼比适当降低可取0.04。 RC-SB结构的阻尼比取0.05。</w:t>
      </w:r>
      <w:bookmarkEnd w:id="360"/>
      <w:bookmarkEnd w:id="361"/>
    </w:p>
    <w:p>
      <w:pPr>
        <w:pStyle w:val="109"/>
        <w:numPr>
          <w:ilvl w:val="0"/>
          <w:numId w:val="0"/>
        </w:numPr>
        <w:spacing w:before="0" w:beforeLines="0" w:after="0" w:afterLines="0"/>
        <w:textAlignment w:val="center"/>
        <w:outlineLvl w:val="2"/>
        <w:rPr>
          <w:rFonts w:ascii="宋体" w:hAnsi="宋体" w:eastAsia="宋体"/>
          <w:color w:val="000000"/>
        </w:rPr>
      </w:pPr>
      <w:bookmarkStart w:id="362" w:name="_Toc185523600"/>
      <w:bookmarkStart w:id="363" w:name="_Toc186641568"/>
      <w:r>
        <w:rPr>
          <w:rFonts w:hAnsi="宋体"/>
          <w:color w:val="000000"/>
        </w:rPr>
        <w:t>9</w:t>
      </w:r>
      <w:r>
        <w:rPr>
          <w:rFonts w:hint="eastAsia" w:hAnsi="宋体"/>
          <w:color w:val="000000"/>
        </w:rPr>
        <w:t>.</w:t>
      </w:r>
      <w:r>
        <w:rPr>
          <w:rFonts w:hAnsi="宋体"/>
          <w:color w:val="000000"/>
        </w:rPr>
        <w:t>1</w:t>
      </w:r>
      <w:r>
        <w:rPr>
          <w:rFonts w:hint="eastAsia" w:hAnsi="宋体"/>
          <w:color w:val="000000"/>
        </w:rPr>
        <w:t>.</w:t>
      </w:r>
      <w:r>
        <w:rPr>
          <w:rFonts w:hAnsi="宋体"/>
          <w:color w:val="000000"/>
        </w:rPr>
        <w:t>7</w:t>
      </w:r>
      <w:r>
        <w:rPr>
          <w:rFonts w:hint="eastAsia" w:ascii="Times New Roman" w:eastAsia="宋体"/>
          <w:color w:val="000000"/>
        </w:rPr>
        <w:t>　</w:t>
      </w:r>
      <w:r>
        <w:rPr>
          <w:rFonts w:hint="eastAsia" w:ascii="宋体" w:hAnsi="宋体" w:eastAsia="宋体"/>
          <w:color w:val="000000"/>
        </w:rPr>
        <w:t>楼盖可采用钢筋混凝土现浇楼板、叠合板、钢筋桁架楼承板、密肋楼板、压型钢板现浇钢筋混凝土组合楼板。</w:t>
      </w:r>
      <w:bookmarkEnd w:id="362"/>
      <w:bookmarkEnd w:id="363"/>
    </w:p>
    <w:p>
      <w:pPr>
        <w:pStyle w:val="109"/>
        <w:numPr>
          <w:ilvl w:val="0"/>
          <w:numId w:val="0"/>
        </w:numPr>
        <w:spacing w:before="0" w:beforeLines="0" w:after="0" w:afterLines="0"/>
        <w:textAlignment w:val="center"/>
        <w:outlineLvl w:val="2"/>
        <w:rPr>
          <w:rFonts w:ascii="宋体" w:hAnsi="宋体" w:eastAsia="宋体"/>
          <w:color w:val="000000"/>
        </w:rPr>
      </w:pPr>
      <w:bookmarkStart w:id="364" w:name="_Toc185523601"/>
      <w:bookmarkStart w:id="365" w:name="_Toc186641569"/>
      <w:r>
        <w:rPr>
          <w:rFonts w:hAnsi="宋体"/>
          <w:color w:val="000000"/>
        </w:rPr>
        <w:t>9</w:t>
      </w:r>
      <w:r>
        <w:rPr>
          <w:rFonts w:hint="eastAsia" w:hAnsi="宋体"/>
          <w:color w:val="000000"/>
        </w:rPr>
        <w:t>.</w:t>
      </w:r>
      <w:r>
        <w:rPr>
          <w:rFonts w:hAnsi="宋体"/>
          <w:color w:val="000000"/>
        </w:rPr>
        <w:t>1</w:t>
      </w:r>
      <w:r>
        <w:rPr>
          <w:rFonts w:hint="eastAsia" w:hAnsi="宋体"/>
          <w:color w:val="000000"/>
        </w:rPr>
        <w:t>.</w:t>
      </w:r>
      <w:r>
        <w:rPr>
          <w:rFonts w:hAnsi="宋体"/>
          <w:color w:val="000000"/>
        </w:rPr>
        <w:t>8</w:t>
      </w:r>
      <w:r>
        <w:rPr>
          <w:rFonts w:hint="eastAsia" w:ascii="Times New Roman" w:eastAsia="宋体"/>
          <w:color w:val="000000"/>
        </w:rPr>
        <w:t>　</w:t>
      </w:r>
      <w:r>
        <w:rPr>
          <w:rFonts w:hint="eastAsia" w:ascii="宋体" w:hAnsi="宋体" w:eastAsia="宋体"/>
          <w:color w:val="000000"/>
        </w:rPr>
        <w:t>钢梁的整体稳定性一般由刚性板与侧向支撑体系来保证，当有压型钢板现浇钢筋混凝土组合楼板、现浇钢筋桁架混凝土楼板或钢筋混凝土楼板在梁的受压翼缘上并与其牢固连接，能阻止受压翼缘的侧向位移时，梁不会丧失整体稳定性，不必计算其整体稳定性。框架梁在地震作用下，在可能出现塑性铰的截面(为梁端和集中力作用处)附近均应设置侧向支撑(隅撑)，以保证该位置下翼缘的受压稳定性，一般采用下翼缘成对设置隅撑，或采取设置加劲肋等措施。</w:t>
      </w:r>
      <w:bookmarkEnd w:id="364"/>
      <w:bookmarkEnd w:id="365"/>
    </w:p>
    <w:p>
      <w:pPr>
        <w:pStyle w:val="109"/>
        <w:numPr>
          <w:ilvl w:val="0"/>
          <w:numId w:val="0"/>
        </w:numPr>
        <w:spacing w:before="0" w:beforeLines="0" w:after="120"/>
        <w:textAlignment w:val="center"/>
        <w:outlineLvl w:val="2"/>
        <w:rPr>
          <w:rFonts w:ascii="宋体" w:hAnsi="宋体" w:eastAsia="宋体"/>
          <w:color w:val="000000"/>
        </w:rPr>
      </w:pPr>
      <w:bookmarkStart w:id="366" w:name="_Toc185523602"/>
      <w:bookmarkStart w:id="367" w:name="_Toc186641570"/>
      <w:r>
        <w:rPr>
          <w:rFonts w:hAnsi="宋体"/>
          <w:color w:val="000000"/>
        </w:rPr>
        <w:t>9</w:t>
      </w:r>
      <w:r>
        <w:rPr>
          <w:rFonts w:hint="eastAsia" w:hAnsi="宋体"/>
          <w:color w:val="000000"/>
        </w:rPr>
        <w:t>.</w:t>
      </w:r>
      <w:r>
        <w:rPr>
          <w:rFonts w:hAnsi="宋体"/>
          <w:color w:val="000000"/>
        </w:rPr>
        <w:t>1</w:t>
      </w:r>
      <w:r>
        <w:rPr>
          <w:rFonts w:hint="eastAsia" w:hAnsi="宋体"/>
          <w:color w:val="000000"/>
        </w:rPr>
        <w:t>.</w:t>
      </w:r>
      <w:r>
        <w:rPr>
          <w:rFonts w:hAnsi="宋体"/>
          <w:color w:val="000000"/>
        </w:rPr>
        <w:t>9</w:t>
      </w:r>
      <w:r>
        <w:rPr>
          <w:rFonts w:hint="eastAsia" w:ascii="Times New Roman" w:eastAsia="宋体"/>
          <w:color w:val="000000"/>
        </w:rPr>
        <w:t>　</w:t>
      </w:r>
      <w:r>
        <w:rPr>
          <w:rFonts w:hint="eastAsia" w:ascii="宋体" w:hAnsi="宋体" w:eastAsia="宋体"/>
          <w:color w:val="000000"/>
        </w:rPr>
        <w:t>本文件中装配式混合框架结构可采用以下几种组合：</w:t>
      </w:r>
      <w:bookmarkEnd w:id="366"/>
      <w:bookmarkEnd w:id="367"/>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126"/>
        <w:gridCol w:w="2903"/>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539" w:type="dxa"/>
            <w:gridSpan w:val="2"/>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rPr>
              <w:t>结构类型</w:t>
            </w:r>
          </w:p>
        </w:tc>
        <w:tc>
          <w:tcPr>
            <w:tcW w:w="2903" w:type="dxa"/>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柱</w:t>
            </w:r>
          </w:p>
        </w:tc>
        <w:tc>
          <w:tcPr>
            <w:tcW w:w="2903" w:type="dxa"/>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13" w:type="dxa"/>
            <w:vMerge w:val="restart"/>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rPr>
              <w:t>装配式混合框架结构</w:t>
            </w:r>
          </w:p>
        </w:tc>
        <w:tc>
          <w:tcPr>
            <w:tcW w:w="2126" w:type="dxa"/>
            <w:vMerge w:val="restart"/>
            <w:vAlign w:val="center"/>
          </w:tcPr>
          <w:p>
            <w:pPr>
              <w:spacing w:line="240" w:lineRule="auto"/>
              <w:ind w:firstLine="0" w:firstLineChars="0"/>
              <w:jc w:val="center"/>
              <w:rPr>
                <w:rFonts w:cs="Times New Roman"/>
                <w:kern w:val="0"/>
                <w:sz w:val="18"/>
                <w:szCs w:val="18"/>
              </w:rPr>
            </w:pPr>
            <w:r>
              <w:rPr>
                <w:rFonts w:cs="Times New Roman"/>
                <w:kern w:val="0"/>
                <w:sz w:val="18"/>
                <w:szCs w:val="18"/>
              </w:rPr>
              <w:t>装配式钢管混凝土柱-钢筋混凝土梁结构</w:t>
            </w:r>
          </w:p>
        </w:tc>
        <w:tc>
          <w:tcPr>
            <w:tcW w:w="2903" w:type="dxa"/>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钢管柱</w:t>
            </w:r>
          </w:p>
        </w:tc>
        <w:tc>
          <w:tcPr>
            <w:tcW w:w="2903" w:type="dxa"/>
            <w:vMerge w:val="restart"/>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钢筋混凝土梁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13" w:type="dxa"/>
            <w:vMerge w:val="continue"/>
            <w:vAlign w:val="center"/>
          </w:tcPr>
          <w:p>
            <w:pPr>
              <w:spacing w:line="240" w:lineRule="auto"/>
              <w:ind w:firstLine="0" w:firstLineChars="0"/>
              <w:jc w:val="center"/>
              <w:rPr>
                <w:rFonts w:cs="Times New Roman"/>
                <w:kern w:val="0"/>
                <w:sz w:val="18"/>
                <w:szCs w:val="18"/>
              </w:rPr>
            </w:pPr>
          </w:p>
        </w:tc>
        <w:tc>
          <w:tcPr>
            <w:tcW w:w="2126" w:type="dxa"/>
            <w:vMerge w:val="continue"/>
            <w:vAlign w:val="center"/>
          </w:tcPr>
          <w:p>
            <w:pPr>
              <w:spacing w:line="240" w:lineRule="auto"/>
              <w:ind w:firstLine="0" w:firstLineChars="0"/>
              <w:jc w:val="center"/>
              <w:rPr>
                <w:rFonts w:cs="Times New Roman"/>
                <w:kern w:val="0"/>
                <w:sz w:val="18"/>
                <w:szCs w:val="18"/>
              </w:rPr>
            </w:pPr>
          </w:p>
        </w:tc>
        <w:tc>
          <w:tcPr>
            <w:tcW w:w="2903" w:type="dxa"/>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钢管柱+混凝土柱</w:t>
            </w:r>
          </w:p>
        </w:tc>
        <w:tc>
          <w:tcPr>
            <w:tcW w:w="2903" w:type="dxa"/>
            <w:vMerge w:val="continue"/>
            <w:vAlign w:val="center"/>
          </w:tcPr>
          <w:p>
            <w:pPr>
              <w:spacing w:line="240" w:lineRule="auto"/>
              <w:ind w:firstLine="0" w:firstLineChars="0"/>
              <w:jc w:val="center"/>
              <w:rPr>
                <w:rFonts w:cs="Times New Roman"/>
                <w:kern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spacing w:line="240" w:lineRule="auto"/>
              <w:ind w:firstLine="0" w:firstLineChars="0"/>
              <w:jc w:val="center"/>
              <w:rPr>
                <w:rFonts w:cs="Times New Roman"/>
                <w:kern w:val="0"/>
                <w:sz w:val="18"/>
                <w:szCs w:val="18"/>
                <w:lang w:val="zh-CN"/>
              </w:rPr>
            </w:pPr>
          </w:p>
        </w:tc>
        <w:tc>
          <w:tcPr>
            <w:tcW w:w="2126" w:type="dxa"/>
            <w:vAlign w:val="center"/>
          </w:tcPr>
          <w:p>
            <w:pPr>
              <w:spacing w:line="240" w:lineRule="auto"/>
              <w:ind w:firstLine="0" w:firstLineChars="0"/>
              <w:jc w:val="center"/>
              <w:rPr>
                <w:rFonts w:cs="Times New Roman"/>
                <w:kern w:val="0"/>
                <w:sz w:val="18"/>
                <w:szCs w:val="18"/>
              </w:rPr>
            </w:pPr>
            <w:r>
              <w:rPr>
                <w:rFonts w:cs="Times New Roman"/>
                <w:kern w:val="0"/>
                <w:sz w:val="18"/>
                <w:szCs w:val="18"/>
              </w:rPr>
              <w:t>装配式钢筋混凝土柱-钢梁结构</w:t>
            </w:r>
          </w:p>
        </w:tc>
        <w:tc>
          <w:tcPr>
            <w:tcW w:w="2903" w:type="dxa"/>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钢筋混凝土柱</w:t>
            </w:r>
          </w:p>
        </w:tc>
        <w:tc>
          <w:tcPr>
            <w:tcW w:w="2903" w:type="dxa"/>
            <w:vAlign w:val="center"/>
          </w:tcPr>
          <w:p>
            <w:pPr>
              <w:spacing w:line="240" w:lineRule="auto"/>
              <w:ind w:firstLine="0" w:firstLineChars="0"/>
              <w:jc w:val="center"/>
              <w:rPr>
                <w:rFonts w:cs="Times New Roman"/>
                <w:kern w:val="0"/>
                <w:sz w:val="18"/>
                <w:szCs w:val="18"/>
                <w:lang w:val="zh-CN"/>
              </w:rPr>
            </w:pPr>
            <w:r>
              <w:rPr>
                <w:rFonts w:cs="Times New Roman"/>
                <w:kern w:val="0"/>
                <w:sz w:val="18"/>
                <w:szCs w:val="18"/>
                <w:lang w:val="zh-CN"/>
              </w:rPr>
              <w:t>钢梁</w:t>
            </w:r>
          </w:p>
        </w:tc>
      </w:tr>
    </w:tbl>
    <w:p>
      <w:pPr>
        <w:pStyle w:val="109"/>
        <w:numPr>
          <w:ilvl w:val="0"/>
          <w:numId w:val="0"/>
        </w:numPr>
        <w:spacing w:before="120" w:after="0" w:afterLines="0"/>
        <w:textAlignment w:val="center"/>
        <w:outlineLvl w:val="2"/>
        <w:rPr>
          <w:rFonts w:ascii="宋体" w:hAnsi="宋体" w:eastAsia="宋体"/>
          <w:color w:val="000000"/>
        </w:rPr>
      </w:pPr>
      <w:bookmarkStart w:id="368" w:name="_Toc186641571"/>
      <w:bookmarkStart w:id="369" w:name="_Toc185523603"/>
      <w:r>
        <w:rPr>
          <w:rFonts w:hAnsi="宋体"/>
          <w:color w:val="000000"/>
        </w:rPr>
        <w:t>9</w:t>
      </w:r>
      <w:r>
        <w:rPr>
          <w:rFonts w:hint="eastAsia" w:hAnsi="宋体"/>
          <w:color w:val="000000"/>
        </w:rPr>
        <w:t>.</w:t>
      </w:r>
      <w:r>
        <w:rPr>
          <w:rFonts w:hAnsi="宋体"/>
          <w:color w:val="000000"/>
        </w:rPr>
        <w:t>1</w:t>
      </w:r>
      <w:r>
        <w:rPr>
          <w:rFonts w:hint="eastAsia" w:hAnsi="宋体"/>
          <w:color w:val="000000"/>
        </w:rPr>
        <w:t>.</w:t>
      </w:r>
      <w:r>
        <w:rPr>
          <w:rFonts w:hAnsi="宋体"/>
          <w:color w:val="000000"/>
        </w:rPr>
        <w:t>11</w:t>
      </w:r>
      <w:r>
        <w:rPr>
          <w:rFonts w:hint="eastAsia" w:ascii="Times New Roman" w:eastAsia="宋体"/>
          <w:color w:val="000000"/>
        </w:rPr>
        <w:t>　</w:t>
      </w:r>
      <w:r>
        <w:rPr>
          <w:rFonts w:hint="eastAsia" w:ascii="宋体" w:hAnsi="宋体" w:eastAsia="宋体"/>
          <w:color w:val="000000"/>
        </w:rPr>
        <w:t>钢管混凝土框架柱与砌体墙拉结钢筋应与钢管混凝土柱具有可靠连接。拉结钢筋宜与钢管焊接，若有可靠措施，也可采用结构胶进行连接。</w:t>
      </w:r>
      <w:bookmarkEnd w:id="368"/>
      <w:bookmarkEnd w:id="369"/>
    </w:p>
    <w:p>
      <w:pPr>
        <w:pStyle w:val="109"/>
        <w:numPr>
          <w:ilvl w:val="0"/>
          <w:numId w:val="0"/>
        </w:numPr>
        <w:spacing w:before="0" w:beforeLines="0" w:after="0" w:afterLines="0"/>
        <w:textAlignment w:val="center"/>
        <w:outlineLvl w:val="2"/>
        <w:rPr>
          <w:rFonts w:ascii="宋体" w:hAnsi="宋体" w:eastAsia="宋体"/>
          <w:color w:val="000000"/>
        </w:rPr>
      </w:pPr>
      <w:bookmarkStart w:id="370" w:name="_Toc185523604"/>
      <w:bookmarkStart w:id="371" w:name="_Toc186641572"/>
      <w:r>
        <w:rPr>
          <w:rFonts w:hAnsi="宋体"/>
          <w:color w:val="000000"/>
        </w:rPr>
        <w:t>9</w:t>
      </w:r>
      <w:r>
        <w:rPr>
          <w:rFonts w:hint="eastAsia" w:hAnsi="宋体"/>
          <w:color w:val="000000"/>
        </w:rPr>
        <w:t>.</w:t>
      </w:r>
      <w:r>
        <w:rPr>
          <w:rFonts w:hAnsi="宋体"/>
          <w:color w:val="000000"/>
        </w:rPr>
        <w:t>1</w:t>
      </w:r>
      <w:r>
        <w:rPr>
          <w:rFonts w:hint="eastAsia" w:hAnsi="宋体"/>
          <w:color w:val="000000"/>
        </w:rPr>
        <w:t>.</w:t>
      </w:r>
      <w:r>
        <w:rPr>
          <w:rFonts w:hAnsi="宋体"/>
          <w:color w:val="000000"/>
        </w:rPr>
        <w:t>12</w:t>
      </w:r>
      <w:r>
        <w:rPr>
          <w:rFonts w:hint="eastAsia" w:ascii="Times New Roman" w:eastAsia="宋体"/>
          <w:color w:val="000000"/>
        </w:rPr>
        <w:t>　</w:t>
      </w:r>
      <w:r>
        <w:rPr>
          <w:rFonts w:hint="eastAsia" w:ascii="宋体" w:hAnsi="宋体" w:eastAsia="宋体"/>
          <w:color w:val="000000"/>
        </w:rPr>
        <w:t>由于钢管混凝土框架柱开洞边到柱边距离应满足受力及构造要求，宜采用逢中的方式设计，若有特殊情况，需在柱边设置钢筋混凝土构件，则可按梁边挑板的方式处理（图1）。</w:t>
      </w:r>
      <w:bookmarkEnd w:id="370"/>
      <w:bookmarkEnd w:id="371"/>
    </w:p>
    <w:p>
      <w:pPr>
        <w:pStyle w:val="63"/>
        <w:ind w:firstLine="420"/>
      </w:pPr>
      <w:r>
        <w:rPr>
          <w:rFonts w:hint="eastAsia"/>
        </w:rPr>
        <w:t xml:space="preserve">                     </w:t>
      </w:r>
      <w:r>
        <w:t xml:space="preserve">  </w:t>
      </w:r>
      <w:r>
        <w:rPr>
          <w:rFonts w:hint="eastAsia"/>
        </w:rPr>
        <w:t xml:space="preserve">    </w:t>
      </w:r>
      <w:r>
        <w:drawing>
          <wp:inline distT="0" distB="0" distL="114300" distR="114300">
            <wp:extent cx="1327785" cy="1320165"/>
            <wp:effectExtent l="0" t="0" r="571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360"/>
                    <a:stretch>
                      <a:fillRect/>
                    </a:stretch>
                  </pic:blipFill>
                  <pic:spPr>
                    <a:xfrm>
                      <a:off x="0" y="0"/>
                      <a:ext cx="1332515" cy="1325286"/>
                    </a:xfrm>
                    <a:prstGeom prst="rect">
                      <a:avLst/>
                    </a:prstGeom>
                    <a:noFill/>
                    <a:ln>
                      <a:noFill/>
                    </a:ln>
                  </pic:spPr>
                </pic:pic>
              </a:graphicData>
            </a:graphic>
          </wp:inline>
        </w:drawing>
      </w:r>
    </w:p>
    <w:p>
      <w:pPr>
        <w:spacing w:line="400" w:lineRule="exact"/>
        <w:ind w:firstLine="420"/>
        <w:rPr>
          <w:rFonts w:ascii="黑体" w:hAnsi="黑体" w:eastAsia="黑体"/>
        </w:rPr>
      </w:pPr>
      <w:r>
        <w:rPr>
          <w:rFonts w:hint="eastAsia"/>
        </w:rPr>
        <w:t xml:space="preserve">                     </w:t>
      </w:r>
      <w:r>
        <w:t xml:space="preserve">  </w:t>
      </w:r>
      <w:r>
        <w:rPr>
          <w:rFonts w:hint="eastAsia"/>
        </w:rPr>
        <w:t xml:space="preserve">     </w:t>
      </w:r>
      <w:r>
        <w:rPr>
          <w:rFonts w:hint="eastAsia" w:ascii="黑体" w:hAnsi="黑体" w:eastAsia="黑体"/>
        </w:rPr>
        <w:t>图1</w:t>
      </w:r>
      <w:r>
        <w:rPr>
          <w:rFonts w:hint="eastAsia" w:ascii="黑体" w:hAnsi="黑体" w:eastAsia="黑体" w:cs="黑体"/>
        </w:rPr>
        <w:t>　</w:t>
      </w:r>
      <w:r>
        <w:rPr>
          <w:rFonts w:hint="eastAsia" w:ascii="黑体" w:hAnsi="黑体" w:eastAsia="黑体"/>
        </w:rPr>
        <w:t>梁挑板示意图</w:t>
      </w:r>
    </w:p>
    <w:p>
      <w:pPr>
        <w:pStyle w:val="109"/>
        <w:numPr>
          <w:ilvl w:val="0"/>
          <w:numId w:val="0"/>
        </w:numPr>
        <w:spacing w:before="120" w:after="0" w:afterLines="0"/>
        <w:textAlignment w:val="center"/>
        <w:outlineLvl w:val="2"/>
        <w:rPr>
          <w:rFonts w:ascii="宋体" w:hAnsi="宋体" w:eastAsia="宋体"/>
          <w:color w:val="000000"/>
        </w:rPr>
      </w:pPr>
      <w:bookmarkStart w:id="372" w:name="_Toc185523605"/>
      <w:bookmarkStart w:id="373" w:name="_Toc186641573"/>
      <w:r>
        <w:rPr>
          <w:rFonts w:hAnsi="宋体"/>
          <w:color w:val="000000"/>
        </w:rPr>
        <w:t>9</w:t>
      </w:r>
      <w:r>
        <w:rPr>
          <w:rFonts w:hint="eastAsia" w:hAnsi="宋体"/>
          <w:color w:val="000000"/>
        </w:rPr>
        <w:t>.</w:t>
      </w:r>
      <w:r>
        <w:rPr>
          <w:rFonts w:hAnsi="宋体"/>
          <w:color w:val="000000"/>
        </w:rPr>
        <w:t>1</w:t>
      </w:r>
      <w:r>
        <w:rPr>
          <w:rFonts w:hint="eastAsia" w:hAnsi="宋体"/>
          <w:color w:val="000000"/>
        </w:rPr>
        <w:t>.</w:t>
      </w:r>
      <w:r>
        <w:rPr>
          <w:rFonts w:hAnsi="宋体"/>
          <w:color w:val="000000"/>
        </w:rPr>
        <w:t>14</w:t>
      </w:r>
      <w:r>
        <w:rPr>
          <w:rFonts w:hint="eastAsia" w:ascii="Times New Roman" w:eastAsia="宋体"/>
          <w:color w:val="000000"/>
        </w:rPr>
        <w:t>　</w:t>
      </w:r>
      <w:r>
        <w:rPr>
          <w:rFonts w:hint="eastAsia" w:ascii="宋体" w:hAnsi="宋体" w:eastAsia="宋体"/>
          <w:color w:val="000000"/>
        </w:rPr>
        <w:t>框架柱截面大小除受力要求外，与钢管混凝土框架柱开孔处孔边到柱边最小距离有较大的关系，其最小距离也是控制钢管混凝土框架柱截面的重要因素之一，故此本文件考虑梁截面常用宽度及孔边到柱边最小距离的要求，从构造上规定钢管混凝土框架柱最小截面尺寸。</w:t>
      </w:r>
      <w:bookmarkEnd w:id="372"/>
      <w:bookmarkEnd w:id="373"/>
    </w:p>
    <w:p>
      <w:pPr>
        <w:pStyle w:val="109"/>
        <w:numPr>
          <w:ilvl w:val="0"/>
          <w:numId w:val="0"/>
        </w:numPr>
        <w:spacing w:before="120" w:after="120"/>
        <w:textAlignment w:val="center"/>
        <w:rPr>
          <w:rFonts w:ascii="Times New Roman" w:eastAsia="宋体"/>
          <w:color w:val="000000"/>
        </w:rPr>
      </w:pPr>
      <w:bookmarkStart w:id="374" w:name="_Toc186641574"/>
      <w:bookmarkStart w:id="375" w:name="_Toc185523606"/>
      <w:r>
        <w:rPr>
          <w:rFonts w:hAnsi="黑体"/>
          <w:color w:val="000000"/>
        </w:rPr>
        <w:t>9.2</w:t>
      </w:r>
      <w:r>
        <w:rPr>
          <w:rFonts w:hint="eastAsia" w:ascii="Times New Roman" w:eastAsia="宋体"/>
          <w:color w:val="000000"/>
        </w:rPr>
        <w:t>　</w:t>
      </w:r>
      <w:r>
        <w:rPr>
          <w:rFonts w:hint="eastAsia" w:hAnsi="黑体"/>
          <w:color w:val="000000"/>
        </w:rPr>
        <w:t>节点构造</w:t>
      </w:r>
      <w:bookmarkEnd w:id="374"/>
      <w:bookmarkEnd w:id="375"/>
    </w:p>
    <w:p>
      <w:pPr>
        <w:pStyle w:val="109"/>
        <w:numPr>
          <w:ilvl w:val="0"/>
          <w:numId w:val="0"/>
        </w:numPr>
        <w:spacing w:before="0" w:beforeLines="0" w:after="0" w:afterLines="0"/>
        <w:textAlignment w:val="center"/>
        <w:outlineLvl w:val="2"/>
        <w:rPr>
          <w:rFonts w:ascii="宋体" w:hAnsi="宋体" w:eastAsia="宋体"/>
          <w:color w:val="000000"/>
        </w:rPr>
      </w:pPr>
      <w:bookmarkStart w:id="376" w:name="_Toc185523607"/>
      <w:bookmarkStart w:id="377" w:name="_Toc186641575"/>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w:t>
      </w:r>
      <w:r>
        <w:rPr>
          <w:rFonts w:hint="eastAsia" w:ascii="Times New Roman" w:eastAsia="宋体"/>
          <w:color w:val="000000"/>
        </w:rPr>
        <w:t>　</w:t>
      </w:r>
      <w:r>
        <w:rPr>
          <w:rFonts w:ascii="Times New Roman" w:eastAsia="宋体"/>
          <w:color w:val="000000"/>
        </w:rPr>
        <w:t>CFRST-RB节点</w:t>
      </w:r>
      <w:bookmarkEnd w:id="376"/>
      <w:bookmarkEnd w:id="377"/>
    </w:p>
    <w:p>
      <w:pPr>
        <w:pStyle w:val="109"/>
        <w:numPr>
          <w:ilvl w:val="0"/>
          <w:numId w:val="0"/>
        </w:numPr>
        <w:spacing w:before="0" w:beforeLines="0" w:after="0" w:afterLines="0"/>
        <w:textAlignment w:val="center"/>
        <w:outlineLvl w:val="2"/>
        <w:rPr>
          <w:rFonts w:ascii="宋体" w:hAnsi="宋体" w:eastAsia="宋体"/>
          <w:color w:val="000000"/>
        </w:rPr>
      </w:pPr>
      <w:bookmarkStart w:id="378" w:name="_Toc185523608"/>
      <w:bookmarkStart w:id="379" w:name="_Toc186641576"/>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1.2</w:t>
      </w:r>
      <w:r>
        <w:rPr>
          <w:rFonts w:hint="eastAsia" w:ascii="Times New Roman" w:eastAsia="宋体"/>
          <w:color w:val="000000"/>
        </w:rPr>
        <w:t>　</w:t>
      </w:r>
      <w:r>
        <w:rPr>
          <w:rFonts w:hint="eastAsia" w:ascii="宋体" w:hAnsi="宋体" w:eastAsia="宋体"/>
          <w:color w:val="000000"/>
        </w:rPr>
        <w:t>设计时，宜采用标准化的框架梁的截面尺寸和梁面标高，便于钢管柱、孔口标准化加工，使得钢筋混凝土梁纵筋贯穿方便。</w:t>
      </w:r>
      <w:bookmarkEnd w:id="378"/>
      <w:bookmarkEnd w:id="379"/>
    </w:p>
    <w:p>
      <w:pPr>
        <w:pStyle w:val="109"/>
        <w:numPr>
          <w:ilvl w:val="0"/>
          <w:numId w:val="0"/>
        </w:numPr>
        <w:spacing w:before="0" w:beforeLines="0" w:after="0" w:afterLines="0"/>
        <w:textAlignment w:val="center"/>
        <w:outlineLvl w:val="2"/>
        <w:rPr>
          <w:rFonts w:ascii="宋体" w:hAnsi="宋体" w:eastAsia="宋体"/>
          <w:color w:val="000000"/>
        </w:rPr>
      </w:pPr>
      <w:bookmarkStart w:id="380" w:name="_Toc185523609"/>
      <w:bookmarkStart w:id="381" w:name="_Toc186641577"/>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1.3</w:t>
      </w:r>
      <w:r>
        <w:rPr>
          <w:rFonts w:hint="eastAsia" w:ascii="Times New Roman" w:eastAsia="宋体"/>
          <w:color w:val="000000"/>
        </w:rPr>
        <w:t>　</w:t>
      </w:r>
      <w:r>
        <w:rPr>
          <w:rFonts w:ascii="Times New Roman" w:eastAsia="宋体"/>
          <w:color w:val="000000"/>
        </w:rPr>
        <w:t>当框架柱四边的梁宽及梁高不同时，开孔后节点区按计算各边加强钢板的厚度可能不同，受力复杂，建议节点区各边加强钢板的厚度宜取各边计算的最大值。矩形钢管截面各边计算加强的钢板厚度差别较大时，本着合理经济的原则，可对称加强钢板的厚度。当板厚大于60mm时，说明梁柱截面尺寸不匹配。</w:t>
      </w:r>
      <w:bookmarkEnd w:id="380"/>
      <w:bookmarkEnd w:id="381"/>
    </w:p>
    <w:p>
      <w:pPr>
        <w:pStyle w:val="109"/>
        <w:numPr>
          <w:ilvl w:val="0"/>
          <w:numId w:val="0"/>
        </w:numPr>
        <w:spacing w:before="0" w:beforeLines="0" w:after="0" w:afterLines="0"/>
        <w:textAlignment w:val="center"/>
        <w:outlineLvl w:val="2"/>
        <w:rPr>
          <w:rFonts w:ascii="宋体" w:hAnsi="宋体" w:eastAsia="宋体"/>
          <w:color w:val="000000"/>
        </w:rPr>
      </w:pPr>
      <w:bookmarkStart w:id="382" w:name="_Toc185523610"/>
      <w:bookmarkStart w:id="383" w:name="_Toc186641578"/>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1.4</w:t>
      </w:r>
      <w:r>
        <w:rPr>
          <w:rFonts w:hint="eastAsia" w:ascii="Times New Roman" w:eastAsia="宋体"/>
          <w:color w:val="000000"/>
        </w:rPr>
        <w:t>　</w:t>
      </w:r>
      <w:r>
        <w:rPr>
          <w:rFonts w:hint="eastAsia" w:ascii="宋体" w:hAnsi="宋体" w:eastAsia="宋体"/>
          <w:color w:val="000000"/>
        </w:rPr>
        <w:t>此条主要控制洞边到非节点区钢管外边的距离，从而间接控制节点区钢板的厚度。</w:t>
      </w:r>
      <w:bookmarkEnd w:id="382"/>
      <w:bookmarkEnd w:id="383"/>
    </w:p>
    <w:p>
      <w:pPr>
        <w:pStyle w:val="109"/>
        <w:numPr>
          <w:ilvl w:val="0"/>
          <w:numId w:val="0"/>
        </w:numPr>
        <w:spacing w:before="0" w:beforeLines="0" w:after="0" w:afterLines="0"/>
        <w:textAlignment w:val="center"/>
        <w:outlineLvl w:val="2"/>
        <w:rPr>
          <w:rFonts w:ascii="宋体" w:hAnsi="宋体" w:eastAsia="宋体"/>
          <w:color w:val="000000"/>
        </w:rPr>
      </w:pPr>
      <w:bookmarkStart w:id="384" w:name="_Toc185523611"/>
      <w:bookmarkStart w:id="385" w:name="_Toc186641579"/>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1.5</w:t>
      </w:r>
      <w:r>
        <w:rPr>
          <w:rFonts w:hint="eastAsia" w:ascii="Times New Roman" w:eastAsia="宋体"/>
          <w:color w:val="000000"/>
        </w:rPr>
        <w:t>　</w:t>
      </w:r>
      <w:r>
        <w:rPr>
          <w:rFonts w:ascii="Times New Roman" w:eastAsia="宋体"/>
          <w:color w:val="000000"/>
        </w:rPr>
        <w:t>控制孔边到非加强钢板区柱钢板内侧的距离，是为了防止开孔过大导致钢管角部发生屈曲破环 。孔边到非加强钢板区柱钢板内侧的距离为</w:t>
      </w:r>
      <w:r>
        <w:rPr>
          <w:rFonts w:ascii="Times New Roman" w:eastAsia="宋体"/>
        </w:rPr>
        <w:t>（</w:t>
      </w:r>
      <w:r>
        <w:rPr>
          <w:rFonts w:ascii="Times New Roman" w:eastAsia="宋体"/>
          <w:i/>
        </w:rPr>
        <w:t>b</w:t>
      </w:r>
      <w:r>
        <w:rPr>
          <w:rFonts w:ascii="Times New Roman" w:eastAsia="宋体"/>
          <w:vertAlign w:val="subscript"/>
        </w:rPr>
        <w:t>1</w:t>
      </w:r>
      <w:r>
        <w:rPr>
          <w:rFonts w:ascii="Times New Roman" w:eastAsia="宋体"/>
        </w:rPr>
        <w:t>-t）</w:t>
      </w:r>
      <w:r>
        <w:rPr>
          <w:rFonts w:ascii="Times New Roman" w:eastAsia="宋体"/>
          <w:color w:val="000000"/>
        </w:rPr>
        <w:t>。</w:t>
      </w:r>
      <w:bookmarkEnd w:id="384"/>
      <w:bookmarkEnd w:id="385"/>
    </w:p>
    <w:p>
      <w:pPr>
        <w:pStyle w:val="109"/>
        <w:numPr>
          <w:ilvl w:val="0"/>
          <w:numId w:val="0"/>
        </w:numPr>
        <w:spacing w:before="0" w:beforeLines="0" w:after="0" w:afterLines="0"/>
        <w:textAlignment w:val="center"/>
        <w:outlineLvl w:val="2"/>
        <w:rPr>
          <w:rFonts w:ascii="宋体" w:hAnsi="宋体" w:eastAsia="宋体"/>
          <w:color w:val="000000"/>
        </w:rPr>
      </w:pPr>
      <w:bookmarkStart w:id="386" w:name="_Toc185523612"/>
      <w:bookmarkStart w:id="387" w:name="_Toc186641580"/>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1.6</w:t>
      </w:r>
      <w:r>
        <w:rPr>
          <w:rFonts w:hint="eastAsia" w:ascii="Times New Roman" w:eastAsia="宋体"/>
          <w:color w:val="000000"/>
        </w:rPr>
        <w:t>　</w:t>
      </w:r>
      <w:r>
        <w:rPr>
          <w:rFonts w:ascii="Times New Roman" w:eastAsia="宋体"/>
          <w:color w:val="000000"/>
        </w:rPr>
        <w:t>武汉大学和中信建筑设计研究总院有限公司联合对钢管开洞CFST-RB梁柱节点开展了剪切试验和有限元分析，获得梁端荷载与转角关系曲线（图</w:t>
      </w:r>
      <w:r>
        <w:rPr>
          <w:rFonts w:hint="eastAsia" w:ascii="Times New Roman" w:eastAsia="宋体"/>
          <w:color w:val="000000"/>
        </w:rPr>
        <w:t>2</w:t>
      </w:r>
      <w:r>
        <w:rPr>
          <w:rFonts w:ascii="Times New Roman" w:eastAsia="宋体"/>
          <w:color w:val="000000"/>
        </w:rPr>
        <w:t>），试件的破坏模式，分析了抗剪辅助措施对短梁剪切承载力的影响。试验获得的荷载-转角曲线如下图所示。通过试验研究表明：在矩形钢管柱下孔口下边缘处设置抗剪钢板的节点屈服荷载和峰值荷载提高不明显，表明设置抗剪钢板对RC梁的抗剪承载力影响不大。有限元分析结果表明：不设置抗剪辅助措施时，无论RC梁根部截面是否因钢管洞口尺寸被削弱，RC梁的一部分剪力通过钢管水平洞壁传递到CFST柱，此处局部压力较大，混凝土有被压碎的可能；设置抗剪板对RC梁的抗剪承载力几乎没有影响，但会改变剪力传递路径。部分剪力通过抗剪板传到CFST柱将减小钢管洞壁上的压力，降低洞口处混凝土被局部压碎的风险；有限元分析也表明将抗剪板设置在RC梁根部底面，其性能全面优于在洞口间设置抗剪板。</w:t>
      </w:r>
      <w:bookmarkEnd w:id="386"/>
      <w:bookmarkEnd w:id="387"/>
    </w:p>
    <w:tbl>
      <w:tblPr>
        <w:tblStyle w:val="3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79"/>
        <w:gridCol w:w="4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9" w:type="dxa"/>
            <w:vAlign w:val="center"/>
          </w:tcPr>
          <w:p>
            <w:pPr>
              <w:pStyle w:val="75"/>
              <w:spacing w:line="240" w:lineRule="auto"/>
              <w:ind w:firstLine="420"/>
              <w:jc w:val="center"/>
              <w:rPr>
                <w:rFonts w:ascii="宋体" w:hAnsi="宋体"/>
                <w:color w:val="5B9BD5" w:themeColor="accent1"/>
                <w:kern w:val="0"/>
                <w:sz w:val="20"/>
                <w14:textFill>
                  <w14:solidFill>
                    <w14:schemeClr w14:val="accent1"/>
                  </w14:solidFill>
                </w14:textFill>
              </w:rPr>
            </w:pPr>
            <w:r>
              <w:rPr>
                <w:rFonts w:ascii="宋体" w:hAnsi="宋体"/>
                <w:color w:val="5B9BD5" w:themeColor="accent1"/>
                <w:kern w:val="0"/>
                <w:sz w:val="20"/>
                <w14:textFill>
                  <w14:solidFill>
                    <w14:schemeClr w14:val="accent1"/>
                  </w14:solidFill>
                </w14:textFill>
              </w:rPr>
              <w:drawing>
                <wp:inline distT="0" distB="0" distL="0" distR="0">
                  <wp:extent cx="2694305" cy="2159635"/>
                  <wp:effectExtent l="0" t="0" r="0" b="0"/>
                  <wp:docPr id="3"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true" noChangeArrowheads="true"/>
                          </pic:cNvPicPr>
                        </pic:nvPicPr>
                        <pic:blipFill>
                          <a:blip r:embed="rId361">
                            <a:extLst>
                              <a:ext uri="{28A0092B-C50C-407E-A947-70E740481C1C}">
                                <a14:useLocalDpi xmlns:a14="http://schemas.microsoft.com/office/drawing/2010/main" val="false"/>
                              </a:ext>
                            </a:extLst>
                          </a:blip>
                          <a:srcRect/>
                          <a:stretch>
                            <a:fillRect/>
                          </a:stretch>
                        </pic:blipFill>
                        <pic:spPr>
                          <a:xfrm>
                            <a:off x="0" y="0"/>
                            <a:ext cx="2694808" cy="2160000"/>
                          </a:xfrm>
                          <a:prstGeom prst="rect">
                            <a:avLst/>
                          </a:prstGeom>
                          <a:noFill/>
                          <a:ln>
                            <a:noFill/>
                          </a:ln>
                        </pic:spPr>
                      </pic:pic>
                    </a:graphicData>
                  </a:graphic>
                </wp:inline>
              </w:drawing>
            </w:r>
          </w:p>
        </w:tc>
        <w:tc>
          <w:tcPr>
            <w:tcW w:w="4395" w:type="dxa"/>
            <w:vAlign w:val="center"/>
          </w:tcPr>
          <w:p>
            <w:pPr>
              <w:pStyle w:val="75"/>
              <w:spacing w:line="240" w:lineRule="auto"/>
              <w:jc w:val="center"/>
              <w:rPr>
                <w:rFonts w:ascii="宋体" w:hAnsi="宋体"/>
                <w:color w:val="5B9BD5" w:themeColor="accent1"/>
                <w:kern w:val="0"/>
                <w:sz w:val="20"/>
                <w14:textFill>
                  <w14:solidFill>
                    <w14:schemeClr w14:val="accent1"/>
                  </w14:solidFill>
                </w14:textFill>
              </w:rPr>
            </w:pPr>
            <w:r>
              <w:rPr>
                <w:rFonts w:ascii="宋体" w:hAnsi="宋体"/>
                <w:color w:val="5B9BD5" w:themeColor="accent1"/>
                <w:kern w:val="0"/>
                <w:sz w:val="20"/>
                <w14:textFill>
                  <w14:solidFill>
                    <w14:schemeClr w14:val="accent1"/>
                  </w14:solidFill>
                </w14:textFill>
              </w:rPr>
              <w:drawing>
                <wp:inline distT="0" distB="0" distL="0" distR="0">
                  <wp:extent cx="2653665" cy="2159635"/>
                  <wp:effectExtent l="0" t="0" r="0" b="0"/>
                  <wp:docPr id="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true" noChangeArrowheads="true"/>
                          </pic:cNvPicPr>
                        </pic:nvPicPr>
                        <pic:blipFill>
                          <a:blip r:embed="rId362">
                            <a:extLst>
                              <a:ext uri="{28A0092B-C50C-407E-A947-70E740481C1C}">
                                <a14:useLocalDpi xmlns:a14="http://schemas.microsoft.com/office/drawing/2010/main" val="false"/>
                              </a:ext>
                            </a:extLst>
                          </a:blip>
                          <a:srcRect/>
                          <a:stretch>
                            <a:fillRect/>
                          </a:stretch>
                        </pic:blipFill>
                        <pic:spPr>
                          <a:xfrm>
                            <a:off x="0" y="0"/>
                            <a:ext cx="2653714" cy="216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9" w:type="dxa"/>
            <w:vAlign w:val="center"/>
          </w:tcPr>
          <w:p>
            <w:pPr>
              <w:pStyle w:val="75"/>
              <w:spacing w:line="240" w:lineRule="auto"/>
              <w:jc w:val="center"/>
              <w:rPr>
                <w:kern w:val="0"/>
                <w:sz w:val="20"/>
                <w:szCs w:val="21"/>
              </w:rPr>
            </w:pPr>
            <w:r>
              <w:rPr>
                <w:rFonts w:hint="eastAsia" w:ascii="宋体" w:hAnsi="宋体"/>
                <w:bCs/>
                <w:color w:val="000000"/>
                <w:spacing w:val="-3"/>
                <w:kern w:val="32"/>
                <w:sz w:val="20"/>
                <w:szCs w:val="28"/>
              </w:rPr>
              <w:t xml:space="preserve">a) </w:t>
            </w:r>
            <w:r>
              <w:rPr>
                <w:rFonts w:hint="eastAsia"/>
                <w:kern w:val="0"/>
                <w:sz w:val="20"/>
                <w:szCs w:val="21"/>
              </w:rPr>
              <w:t>JQ</w:t>
            </w:r>
            <w:r>
              <w:rPr>
                <w:kern w:val="0"/>
                <w:sz w:val="20"/>
                <w:szCs w:val="21"/>
              </w:rPr>
              <w:t>-</w:t>
            </w:r>
            <w:r>
              <w:rPr>
                <w:rFonts w:hint="eastAsia"/>
                <w:kern w:val="0"/>
                <w:sz w:val="20"/>
                <w:szCs w:val="21"/>
              </w:rPr>
              <w:t>1</w:t>
            </w:r>
          </w:p>
        </w:tc>
        <w:tc>
          <w:tcPr>
            <w:tcW w:w="4395" w:type="dxa"/>
            <w:vAlign w:val="center"/>
          </w:tcPr>
          <w:p>
            <w:pPr>
              <w:pStyle w:val="75"/>
              <w:spacing w:line="240" w:lineRule="auto"/>
              <w:jc w:val="center"/>
              <w:rPr>
                <w:rFonts w:ascii="宋体" w:hAnsi="宋体"/>
                <w:kern w:val="0"/>
                <w:sz w:val="20"/>
              </w:rPr>
            </w:pPr>
            <w:r>
              <w:rPr>
                <w:rFonts w:ascii="宋体" w:hAnsi="宋体"/>
                <w:bCs/>
                <w:color w:val="000000"/>
                <w:spacing w:val="-3"/>
                <w:kern w:val="32"/>
                <w:sz w:val="20"/>
                <w:szCs w:val="28"/>
              </w:rPr>
              <w:t>b</w:t>
            </w:r>
            <w:r>
              <w:rPr>
                <w:rFonts w:hint="eastAsia" w:ascii="宋体" w:hAnsi="宋体"/>
                <w:bCs/>
                <w:color w:val="000000"/>
                <w:spacing w:val="-3"/>
                <w:kern w:val="32"/>
                <w:sz w:val="20"/>
                <w:szCs w:val="28"/>
              </w:rPr>
              <w:t xml:space="preserve">) </w:t>
            </w:r>
            <w:r>
              <w:rPr>
                <w:rFonts w:hint="eastAsia"/>
                <w:kern w:val="0"/>
                <w:sz w:val="20"/>
                <w:szCs w:val="21"/>
              </w:rPr>
              <w:t>JQ-2</w:t>
            </w:r>
            <w:r>
              <w:rPr>
                <w:rFonts w:ascii="宋体" w:hAnsi="宋体"/>
                <w:kern w:val="0"/>
                <w:sz w:val="20"/>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74" w:type="dxa"/>
            <w:gridSpan w:val="2"/>
            <w:vAlign w:val="center"/>
          </w:tcPr>
          <w:p>
            <w:pPr>
              <w:pStyle w:val="75"/>
              <w:spacing w:line="400" w:lineRule="exact"/>
              <w:jc w:val="center"/>
              <w:rPr>
                <w:rFonts w:ascii="黑体" w:hAnsi="黑体" w:eastAsia="黑体"/>
                <w:kern w:val="0"/>
                <w:szCs w:val="21"/>
              </w:rPr>
            </w:pPr>
            <w:r>
              <w:rPr>
                <w:rFonts w:hint="eastAsia" w:ascii="黑体" w:hAnsi="黑体" w:eastAsia="黑体"/>
                <w:kern w:val="0"/>
                <w:szCs w:val="21"/>
              </w:rPr>
              <w:t>图2</w:t>
            </w:r>
            <w:r>
              <w:rPr>
                <w:rFonts w:hint="eastAsia" w:ascii="黑体" w:hAnsi="黑体" w:eastAsia="黑体" w:cs="黑体"/>
                <w:kern w:val="0"/>
                <w:szCs w:val="21"/>
              </w:rPr>
              <w:t>　</w:t>
            </w:r>
            <w:r>
              <w:rPr>
                <w:rFonts w:hint="eastAsia" w:ascii="黑体" w:hAnsi="黑体" w:eastAsia="黑体"/>
                <w:kern w:val="0"/>
                <w:szCs w:val="21"/>
              </w:rPr>
              <w:t>剪切试件荷载-位移曲线</w:t>
            </w:r>
          </w:p>
        </w:tc>
      </w:tr>
    </w:tbl>
    <w:p>
      <w:pPr>
        <w:pStyle w:val="109"/>
        <w:numPr>
          <w:ilvl w:val="0"/>
          <w:numId w:val="0"/>
        </w:numPr>
        <w:spacing w:before="0" w:beforeLines="0" w:after="0" w:afterLines="0"/>
        <w:textAlignment w:val="center"/>
        <w:outlineLvl w:val="2"/>
        <w:rPr>
          <w:rFonts w:ascii="宋体" w:hAnsi="宋体" w:eastAsia="宋体"/>
          <w:color w:val="000000"/>
        </w:rPr>
      </w:pPr>
      <w:bookmarkStart w:id="388" w:name="_Toc185523613"/>
      <w:bookmarkStart w:id="389" w:name="_Toc186641581"/>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1.8</w:t>
      </w:r>
      <w:r>
        <w:rPr>
          <w:rFonts w:hint="eastAsia" w:ascii="Times New Roman" w:eastAsia="宋体"/>
          <w:color w:val="000000"/>
        </w:rPr>
        <w:t>　</w:t>
      </w:r>
      <w:r>
        <w:rPr>
          <w:rFonts w:hint="eastAsia" w:ascii="宋体" w:hAnsi="宋体" w:eastAsia="宋体"/>
          <w:color w:val="000000"/>
        </w:rPr>
        <w:t>对于特殊部分列如地下室顶板处，为了支撑室内外高低不同的楼板，框架梁的截面较高，为了保证腰筋、特别时抗扭腰筋与框架柱的锚固，需采取不同措施，列如：增设连接钢板或在框架柱开洞的方式</w:t>
      </w:r>
      <w:r>
        <w:rPr>
          <w:rFonts w:ascii="Times New Roman" w:eastAsia="宋体"/>
          <w:color w:val="000000"/>
        </w:rPr>
        <w:t>（图3）</w:t>
      </w:r>
      <w:r>
        <w:rPr>
          <w:rFonts w:hint="eastAsia" w:ascii="宋体" w:hAnsi="宋体" w:eastAsia="宋体"/>
          <w:color w:val="000000"/>
        </w:rPr>
        <w:t>：</w:t>
      </w:r>
      <w:bookmarkEnd w:id="388"/>
      <w:bookmarkEnd w:id="389"/>
    </w:p>
    <w:p>
      <w:pPr>
        <w:pStyle w:val="63"/>
        <w:ind w:firstLine="0" w:firstLineChars="0"/>
        <w:jc w:val="center"/>
      </w:pPr>
      <w:r>
        <w:rPr>
          <w:rFonts w:hint="eastAsia"/>
        </w:rPr>
        <w:drawing>
          <wp:inline distT="0" distB="0" distL="114300" distR="114300">
            <wp:extent cx="3648710" cy="1669415"/>
            <wp:effectExtent l="0" t="0" r="0" b="6985"/>
            <wp:docPr id="6" name="图片 6" descr="1732502834167_0E695983-9A65-4b68-86F8-2D860213B9F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732502834167_0E695983-9A65-4b68-86F8-2D860213B9F2"/>
                    <pic:cNvPicPr>
                      <a:picLocks noChangeAspect="true"/>
                    </pic:cNvPicPr>
                  </pic:nvPicPr>
                  <pic:blipFill>
                    <a:blip r:embed="rId363"/>
                    <a:srcRect t="8131" b="6493"/>
                    <a:stretch>
                      <a:fillRect/>
                    </a:stretch>
                  </pic:blipFill>
                  <pic:spPr>
                    <a:xfrm>
                      <a:off x="0" y="0"/>
                      <a:ext cx="3648710" cy="1669774"/>
                    </a:xfrm>
                    <a:prstGeom prst="rect">
                      <a:avLst/>
                    </a:prstGeom>
                    <a:ln>
                      <a:noFill/>
                    </a:ln>
                  </pic:spPr>
                </pic:pic>
              </a:graphicData>
            </a:graphic>
          </wp:inline>
        </w:drawing>
      </w:r>
    </w:p>
    <w:p>
      <w:pPr>
        <w:pStyle w:val="63"/>
        <w:spacing w:line="400" w:lineRule="exact"/>
        <w:ind w:firstLine="0" w:firstLineChars="0"/>
        <w:jc w:val="center"/>
        <w:rPr>
          <w:rFonts w:ascii="黑体" w:hAnsi="黑体" w:eastAsia="黑体"/>
        </w:rPr>
      </w:pPr>
      <w:r>
        <w:rPr>
          <w:rFonts w:hint="eastAsia" w:ascii="黑体" w:hAnsi="黑体" w:eastAsia="黑体"/>
        </w:rPr>
        <w:t>图3</w:t>
      </w:r>
      <w:r>
        <w:rPr>
          <w:rFonts w:hint="eastAsia" w:ascii="黑体" w:hAnsi="黑体" w:eastAsia="黑体" w:cs="黑体"/>
        </w:rPr>
        <w:t>　</w:t>
      </w:r>
      <w:r>
        <w:rPr>
          <w:rFonts w:hint="eastAsia" w:ascii="黑体" w:hAnsi="黑体" w:eastAsia="黑体"/>
        </w:rPr>
        <w:t>开孔区域梁腰筋与柱连接示意</w:t>
      </w:r>
    </w:p>
    <w:p>
      <w:pPr>
        <w:pStyle w:val="109"/>
        <w:numPr>
          <w:ilvl w:val="0"/>
          <w:numId w:val="0"/>
        </w:numPr>
        <w:spacing w:before="0" w:beforeLines="0" w:after="0" w:afterLines="0"/>
        <w:textAlignment w:val="center"/>
        <w:outlineLvl w:val="2"/>
        <w:rPr>
          <w:rFonts w:ascii="宋体" w:hAnsi="宋体" w:eastAsia="宋体"/>
          <w:color w:val="000000"/>
        </w:rPr>
      </w:pPr>
      <w:bookmarkStart w:id="390" w:name="_Toc186641582"/>
      <w:bookmarkStart w:id="391" w:name="_Toc185523614"/>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2</w:t>
      </w:r>
      <w:r>
        <w:rPr>
          <w:rFonts w:hint="eastAsia" w:ascii="Times New Roman" w:eastAsia="宋体"/>
          <w:color w:val="000000"/>
        </w:rPr>
        <w:t>　</w:t>
      </w:r>
      <w:r>
        <w:rPr>
          <w:rFonts w:ascii="Times New Roman" w:eastAsia="宋体"/>
          <w:color w:val="000000"/>
        </w:rPr>
        <w:t>CFCST-RB节点</w:t>
      </w:r>
      <w:bookmarkEnd w:id="390"/>
      <w:bookmarkEnd w:id="391"/>
    </w:p>
    <w:p>
      <w:pPr>
        <w:pStyle w:val="109"/>
        <w:numPr>
          <w:ilvl w:val="0"/>
          <w:numId w:val="0"/>
        </w:numPr>
        <w:spacing w:before="0" w:beforeLines="0" w:after="0" w:afterLines="0"/>
        <w:textAlignment w:val="center"/>
        <w:outlineLvl w:val="2"/>
        <w:rPr>
          <w:rFonts w:ascii="宋体" w:hAnsi="宋体" w:eastAsia="宋体"/>
          <w:color w:val="000000"/>
        </w:rPr>
      </w:pPr>
      <w:bookmarkStart w:id="392" w:name="_Toc185523615"/>
      <w:bookmarkStart w:id="393" w:name="_Toc186641583"/>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2.3</w:t>
      </w:r>
      <w:r>
        <w:rPr>
          <w:rFonts w:hint="eastAsia" w:ascii="Times New Roman" w:eastAsia="宋体"/>
          <w:color w:val="000000"/>
        </w:rPr>
        <w:t>　</w:t>
      </w:r>
      <w:r>
        <w:rPr>
          <w:rFonts w:hint="eastAsia" w:ascii="宋体" w:hAnsi="宋体" w:eastAsia="宋体"/>
          <w:color w:val="000000"/>
        </w:rPr>
        <w:t>对于梁截面开孔造成的圆形钢管混凝土柱钢板截面损失，应采用等截面补强的原则，将由于开孔损失的钢板截面补强至未开孔钢板上，补强后节点区钢板总截面面积不小于非节点区钢板总截面面积。补强后钢板厚度</w:t>
      </w:r>
      <w:r>
        <w:rPr>
          <w:rFonts w:ascii="Times New Roman" w:eastAsia="宋体"/>
          <w:i/>
          <w:color w:val="000000"/>
        </w:rPr>
        <w:t>t</w:t>
      </w:r>
      <w:r>
        <w:rPr>
          <w:rFonts w:ascii="Times New Roman" w:eastAsia="宋体"/>
          <w:color w:val="000000"/>
          <w:vertAlign w:val="subscript"/>
        </w:rPr>
        <w:t>j</w:t>
      </w:r>
      <w:r>
        <w:rPr>
          <w:rFonts w:hint="eastAsia" w:ascii="宋体" w:hAnsi="宋体" w:eastAsia="宋体"/>
          <w:color w:val="000000"/>
        </w:rPr>
        <w:t>可按公式（1）计算：</w:t>
      </w:r>
      <w:bookmarkEnd w:id="392"/>
      <w:bookmarkEnd w:id="393"/>
    </w:p>
    <w:p>
      <w:pPr>
        <w:pStyle w:val="63"/>
        <w:ind w:firstLine="420"/>
        <w:jc w:val="center"/>
      </w:pPr>
      <w:r>
        <w:t xml:space="preserve">                                  </w:t>
      </w:r>
      <w:r>
        <w:rPr>
          <w:color w:val="5B9BD5" w:themeColor="accent1"/>
          <w14:textFill>
            <w14:solidFill>
              <w14:schemeClr w14:val="accent1"/>
            </w14:solidFill>
          </w14:textFill>
        </w:rPr>
        <w:drawing>
          <wp:inline distT="0" distB="0" distL="114300" distR="114300">
            <wp:extent cx="1104900" cy="457200"/>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364"/>
                    <a:stretch>
                      <a:fillRect/>
                    </a:stretch>
                  </pic:blipFill>
                  <pic:spPr>
                    <a:xfrm>
                      <a:off x="0" y="0"/>
                      <a:ext cx="1104900" cy="457200"/>
                    </a:xfrm>
                    <a:prstGeom prst="rect">
                      <a:avLst/>
                    </a:prstGeom>
                  </pic:spPr>
                </pic:pic>
              </a:graphicData>
            </a:graphic>
          </wp:inline>
        </w:drawing>
      </w:r>
      <w:r>
        <w:t xml:space="preserve">                               </w:t>
      </w:r>
      <w:r>
        <w:rPr>
          <w:rFonts w:hint="eastAsia"/>
        </w:rPr>
        <w:t>(</w:t>
      </w:r>
      <w:r>
        <w:t>1</w:t>
      </w:r>
      <w:r>
        <w:rPr>
          <w:rFonts w:hint="eastAsia"/>
        </w:rPr>
        <w:t>)</w:t>
      </w:r>
    </w:p>
    <w:p>
      <w:pPr>
        <w:pStyle w:val="63"/>
        <w:ind w:firstLine="0" w:firstLineChars="0"/>
        <w:rPr>
          <w:rFonts w:ascii="Times New Roman"/>
          <w:szCs w:val="21"/>
          <w:lang w:bidi="ar"/>
        </w:rPr>
      </w:pPr>
      <w:r>
        <w:t>其中，</w:t>
      </w:r>
      <w:r>
        <w:rPr>
          <w:rFonts w:ascii="Times New Roman"/>
          <w:i/>
          <w:szCs w:val="21"/>
          <w:lang w:bidi="ar"/>
        </w:rPr>
        <w:t>Ɵ</w:t>
      </w:r>
      <w:r>
        <w:rPr>
          <w:rFonts w:ascii="Times New Roman"/>
          <w:szCs w:val="21"/>
          <w:lang w:bidi="ar"/>
        </w:rPr>
        <w:t>—开孔内边夹角；</w:t>
      </w:r>
      <w:r>
        <w:rPr>
          <w:rFonts w:ascii="Times New Roman"/>
          <w:i/>
          <w:szCs w:val="21"/>
          <w:lang w:bidi="ar"/>
        </w:rPr>
        <w:t>t</w:t>
      </w:r>
      <w:r>
        <w:rPr>
          <w:rFonts w:ascii="Times New Roman"/>
          <w:szCs w:val="21"/>
          <w:vertAlign w:val="subscript"/>
          <w:lang w:bidi="ar"/>
        </w:rPr>
        <w:t>j</w:t>
      </w:r>
      <w:r>
        <w:rPr>
          <w:rFonts w:ascii="Times New Roman"/>
          <w:szCs w:val="21"/>
          <w:lang w:bidi="ar"/>
        </w:rPr>
        <w:t>—开孔区域钢管管壁厚度；</w:t>
      </w:r>
      <w:r>
        <w:rPr>
          <w:rFonts w:ascii="Times New Roman"/>
          <w:i/>
          <w:szCs w:val="21"/>
          <w:lang w:bidi="ar"/>
        </w:rPr>
        <w:t>t</w:t>
      </w:r>
      <w:r>
        <w:rPr>
          <w:rFonts w:ascii="Times New Roman"/>
          <w:szCs w:val="21"/>
          <w:lang w:bidi="ar"/>
        </w:rPr>
        <w:t>—钢管管壁厚度</w:t>
      </w:r>
    </w:p>
    <w:p>
      <w:pPr>
        <w:pStyle w:val="109"/>
        <w:numPr>
          <w:ilvl w:val="0"/>
          <w:numId w:val="0"/>
        </w:numPr>
        <w:spacing w:before="0" w:beforeLines="0" w:after="0" w:afterLines="0"/>
        <w:textAlignment w:val="center"/>
        <w:outlineLvl w:val="2"/>
        <w:rPr>
          <w:rFonts w:ascii="宋体" w:hAnsi="宋体" w:eastAsia="宋体"/>
          <w:color w:val="000000"/>
        </w:rPr>
      </w:pPr>
      <w:bookmarkStart w:id="394" w:name="_Toc185523616"/>
      <w:bookmarkStart w:id="395" w:name="_Toc186641584"/>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2.7</w:t>
      </w:r>
      <w:r>
        <w:rPr>
          <w:rFonts w:hint="eastAsia" w:ascii="Times New Roman" w:eastAsia="宋体"/>
          <w:color w:val="000000"/>
        </w:rPr>
        <w:t>　</w:t>
      </w:r>
      <w:r>
        <w:rPr>
          <w:rFonts w:ascii="Times New Roman" w:eastAsia="宋体"/>
          <w:color w:val="000000"/>
        </w:rPr>
        <w:t>抗剪钢板设置原则同本文件9.2.1.6条</w:t>
      </w:r>
      <w:r>
        <w:rPr>
          <w:rFonts w:hint="eastAsia" w:ascii="宋体" w:hAnsi="宋体" w:eastAsia="宋体"/>
          <w:color w:val="000000"/>
        </w:rPr>
        <w:t>。</w:t>
      </w:r>
      <w:bookmarkEnd w:id="394"/>
      <w:bookmarkEnd w:id="395"/>
    </w:p>
    <w:p>
      <w:pPr>
        <w:pStyle w:val="109"/>
        <w:numPr>
          <w:ilvl w:val="0"/>
          <w:numId w:val="0"/>
        </w:numPr>
        <w:spacing w:before="0" w:beforeLines="0" w:after="0" w:afterLines="0"/>
        <w:textAlignment w:val="center"/>
        <w:outlineLvl w:val="2"/>
        <w:rPr>
          <w:rFonts w:ascii="宋体" w:hAnsi="宋体" w:eastAsia="宋体"/>
          <w:color w:val="000000"/>
        </w:rPr>
      </w:pPr>
      <w:bookmarkStart w:id="396" w:name="_Toc185523617"/>
      <w:bookmarkStart w:id="397" w:name="_Toc186641585"/>
      <w:r>
        <w:rPr>
          <w:rFonts w:hAnsi="宋体"/>
          <w:color w:val="000000"/>
        </w:rPr>
        <w:t>9</w:t>
      </w:r>
      <w:r>
        <w:rPr>
          <w:rFonts w:hint="eastAsia" w:hAnsi="宋体"/>
          <w:color w:val="000000"/>
        </w:rPr>
        <w:t>.</w:t>
      </w:r>
      <w:r>
        <w:rPr>
          <w:rFonts w:hAnsi="宋体"/>
          <w:color w:val="000000"/>
        </w:rPr>
        <w:t>2</w:t>
      </w:r>
      <w:r>
        <w:rPr>
          <w:rFonts w:hint="eastAsia" w:hAnsi="宋体"/>
          <w:color w:val="000000"/>
        </w:rPr>
        <w:t>.</w:t>
      </w:r>
      <w:r>
        <w:rPr>
          <w:rFonts w:hAnsi="宋体"/>
          <w:color w:val="000000"/>
        </w:rPr>
        <w:t>2.9</w:t>
      </w:r>
      <w:r>
        <w:rPr>
          <w:rFonts w:hint="eastAsia" w:ascii="Times New Roman" w:eastAsia="宋体"/>
          <w:color w:val="000000"/>
        </w:rPr>
        <w:t>　</w:t>
      </w:r>
      <w:r>
        <w:rPr>
          <w:rFonts w:ascii="Times New Roman" w:eastAsia="宋体"/>
          <w:color w:val="000000"/>
        </w:rPr>
        <w:t>抗剪钢板设置原则同本文件9.2.1.8条</w:t>
      </w:r>
      <w:r>
        <w:rPr>
          <w:rFonts w:hint="eastAsia" w:ascii="宋体" w:hAnsi="宋体" w:eastAsia="宋体"/>
          <w:color w:val="000000"/>
        </w:rPr>
        <w:t>。</w:t>
      </w:r>
      <w:bookmarkEnd w:id="396"/>
      <w:bookmarkEnd w:id="397"/>
    </w:p>
    <w:p>
      <w:pPr>
        <w:pStyle w:val="109"/>
        <w:numPr>
          <w:ilvl w:val="0"/>
          <w:numId w:val="0"/>
        </w:numPr>
        <w:spacing w:before="120" w:after="120"/>
        <w:textAlignment w:val="center"/>
        <w:rPr>
          <w:rFonts w:ascii="Times New Roman" w:eastAsia="宋体"/>
          <w:color w:val="000000"/>
        </w:rPr>
      </w:pPr>
      <w:bookmarkStart w:id="398" w:name="_Toc186641586"/>
      <w:bookmarkStart w:id="399" w:name="_Toc185523618"/>
      <w:r>
        <w:rPr>
          <w:rFonts w:hAnsi="黑体"/>
          <w:color w:val="000000"/>
        </w:rPr>
        <w:t>9.3</w:t>
      </w:r>
      <w:r>
        <w:rPr>
          <w:rFonts w:hint="eastAsia" w:ascii="Times New Roman" w:eastAsia="宋体"/>
          <w:color w:val="000000"/>
        </w:rPr>
        <w:t>　</w:t>
      </w:r>
      <w:r>
        <w:rPr>
          <w:rFonts w:hint="eastAsia" w:hAnsi="黑体"/>
          <w:color w:val="000000"/>
        </w:rPr>
        <w:t>节点承载力</w:t>
      </w:r>
      <w:bookmarkEnd w:id="398"/>
      <w:bookmarkEnd w:id="399"/>
    </w:p>
    <w:p>
      <w:pPr>
        <w:pStyle w:val="109"/>
        <w:numPr>
          <w:ilvl w:val="0"/>
          <w:numId w:val="0"/>
        </w:numPr>
        <w:spacing w:before="0" w:beforeLines="0" w:after="0" w:afterLines="0"/>
        <w:textAlignment w:val="center"/>
        <w:outlineLvl w:val="2"/>
        <w:rPr>
          <w:rFonts w:ascii="宋体" w:hAnsi="宋体" w:eastAsia="宋体"/>
          <w:color w:val="000000"/>
        </w:rPr>
      </w:pPr>
      <w:bookmarkStart w:id="400" w:name="_Toc185523619"/>
      <w:bookmarkStart w:id="401" w:name="_Toc186641587"/>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1</w:t>
      </w:r>
      <w:r>
        <w:rPr>
          <w:rFonts w:hint="eastAsia" w:ascii="Times New Roman" w:eastAsia="宋体"/>
          <w:color w:val="000000"/>
        </w:rPr>
        <w:t>　</w:t>
      </w:r>
      <w:r>
        <w:rPr>
          <w:rFonts w:ascii="Times New Roman" w:eastAsia="宋体"/>
          <w:color w:val="000000"/>
        </w:rPr>
        <w:t>根据现行国家标准《混凝土结构设计标准》GB/T 50010规定三、四级抗震等级的混合框架节点可不进行受剪承载力验算，仅需满足抗震构造措施的要求。根据近几年进行的框架结构的非线性动力反应分析结果以及对混合框架结构的震害调查表明，对于三级抗震等级的混合框架节点，仅满足抗震构造措施的要求略显不足。因此，本次修订增加了对三级抗震等级混合框架节点受剪承载力的验算要求，同时要求满足相应抗震构造措施。</w:t>
      </w:r>
      <w:bookmarkEnd w:id="400"/>
      <w:bookmarkEnd w:id="401"/>
    </w:p>
    <w:p>
      <w:pPr>
        <w:pStyle w:val="109"/>
        <w:numPr>
          <w:ilvl w:val="0"/>
          <w:numId w:val="0"/>
        </w:numPr>
        <w:spacing w:before="0" w:beforeLines="0" w:after="0" w:afterLines="0"/>
        <w:textAlignment w:val="center"/>
        <w:outlineLvl w:val="2"/>
        <w:rPr>
          <w:rFonts w:ascii="宋体" w:hAnsi="宋体" w:eastAsia="宋体"/>
          <w:color w:val="000000"/>
        </w:rPr>
      </w:pPr>
      <w:bookmarkStart w:id="402" w:name="_Toc185523620"/>
      <w:bookmarkStart w:id="403" w:name="_Toc186641588"/>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4</w:t>
      </w:r>
      <w:r>
        <w:rPr>
          <w:rFonts w:hint="eastAsia" w:ascii="Times New Roman" w:eastAsia="宋体"/>
          <w:color w:val="000000"/>
        </w:rPr>
        <w:t>　</w:t>
      </w:r>
      <w:r>
        <w:rPr>
          <w:rFonts w:ascii="Times New Roman" w:eastAsia="宋体"/>
          <w:color w:val="000000"/>
        </w:rPr>
        <w:t>钢管开孔CFST-RB梁柱节点的抗震受剪承载力应符合下列规定</w:t>
      </w:r>
      <w:r>
        <w:rPr>
          <w:rFonts w:hint="eastAsia" w:ascii="宋体" w:hAnsi="宋体" w:eastAsia="宋体"/>
          <w:color w:val="000000"/>
        </w:rPr>
        <w:t>：</w:t>
      </w:r>
      <w:bookmarkEnd w:id="402"/>
      <w:bookmarkEnd w:id="403"/>
    </w:p>
    <w:p>
      <w:pPr>
        <w:pStyle w:val="109"/>
        <w:numPr>
          <w:ilvl w:val="0"/>
          <w:numId w:val="0"/>
        </w:numPr>
        <w:spacing w:before="0" w:beforeLines="0" w:after="0" w:afterLines="0"/>
        <w:textAlignment w:val="center"/>
        <w:outlineLvl w:val="2"/>
        <w:rPr>
          <w:rFonts w:ascii="宋体" w:hAnsi="宋体" w:eastAsia="宋体"/>
          <w:color w:val="000000"/>
        </w:rPr>
      </w:pPr>
      <w:bookmarkStart w:id="404" w:name="_Toc185523621"/>
      <w:bookmarkStart w:id="405" w:name="_Toc186641589"/>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4.1</w:t>
      </w:r>
      <w:r>
        <w:rPr>
          <w:rFonts w:hint="eastAsia" w:ascii="Times New Roman" w:eastAsia="宋体"/>
          <w:color w:val="000000"/>
        </w:rPr>
        <w:t>　</w:t>
      </w:r>
      <w:r>
        <w:rPr>
          <w:rFonts w:ascii="Times New Roman" w:eastAsia="宋体"/>
          <w:color w:val="000000"/>
        </w:rPr>
        <w:t>武汉大学和中信建筑设计研究总院有限公司联合对6个钢管开孔CFST-RB梁柱节点开展了静力和拟静力试验，并对32个钢管开孔CFST-RB梁柱节点开展了有限元分析。通过试验研究和有限元分析表明：钢管开孔CFST-RB梁柱节点的抗震受剪承载力由节点域开孔钢管组成的钢框架和核心区混凝土“斜压短柱”两部分承担，即节点域开孔钢管的抗剪承载力</w:t>
      </w:r>
      <w:r>
        <w:rPr>
          <w:rFonts w:ascii="Times New Roman" w:eastAsia="宋体"/>
          <w:i/>
          <w:color w:val="000000"/>
        </w:rPr>
        <w:t>V</w:t>
      </w:r>
      <w:r>
        <w:rPr>
          <w:rFonts w:ascii="Times New Roman" w:eastAsia="宋体"/>
          <w:color w:val="000000"/>
          <w:vertAlign w:val="subscript"/>
        </w:rPr>
        <w:t>js</w:t>
      </w:r>
      <w:r>
        <w:rPr>
          <w:rFonts w:ascii="Times New Roman" w:eastAsia="宋体"/>
          <w:color w:val="000000"/>
        </w:rPr>
        <w:t>和节点域混凝土的抗剪承载力</w:t>
      </w:r>
      <w:r>
        <w:rPr>
          <w:rFonts w:ascii="Times New Roman" w:eastAsia="宋体"/>
          <w:i/>
          <w:color w:val="000000"/>
        </w:rPr>
        <w:t>V</w:t>
      </w:r>
      <w:r>
        <w:rPr>
          <w:rFonts w:ascii="Times New Roman" w:eastAsia="宋体"/>
          <w:color w:val="000000"/>
          <w:vertAlign w:val="subscript"/>
        </w:rPr>
        <w:t>jc</w:t>
      </w:r>
      <w:r>
        <w:rPr>
          <w:rFonts w:ascii="Times New Roman" w:eastAsia="宋体"/>
          <w:color w:val="000000"/>
        </w:rPr>
        <w:t>。当达到极限状态时，开孔区域钢框架形成塑性铰，成为机动体系，节点核心区混凝土受压达到极限而节点最终破坏。因节点核心区混凝土强有力的支撑作用，在节点达到抗剪极限状态前认为钢框架不发生局部的屈曲。</w:t>
      </w:r>
      <w:bookmarkEnd w:id="404"/>
      <w:bookmarkEnd w:id="405"/>
    </w:p>
    <w:p>
      <w:pPr>
        <w:pStyle w:val="109"/>
        <w:numPr>
          <w:ilvl w:val="0"/>
          <w:numId w:val="0"/>
        </w:numPr>
        <w:spacing w:before="0" w:beforeLines="0" w:after="0" w:afterLines="0"/>
        <w:textAlignment w:val="center"/>
        <w:outlineLvl w:val="2"/>
        <w:rPr>
          <w:rFonts w:ascii="宋体" w:hAnsi="宋体" w:eastAsia="宋体"/>
          <w:color w:val="000000"/>
        </w:rPr>
      </w:pPr>
      <w:bookmarkStart w:id="406" w:name="_Toc185523622"/>
      <w:bookmarkStart w:id="407" w:name="_Toc186641590"/>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4.2</w:t>
      </w:r>
      <w:r>
        <w:rPr>
          <w:rFonts w:hint="eastAsia" w:ascii="Times New Roman" w:eastAsia="宋体"/>
          <w:color w:val="000000"/>
        </w:rPr>
        <w:t>　</w:t>
      </w:r>
      <w:r>
        <w:rPr>
          <w:rFonts w:ascii="Times New Roman" w:eastAsia="宋体"/>
          <w:color w:val="000000"/>
        </w:rPr>
        <w:t>钢管开孔CFST-RB梁柱节点抗剪承载力贡献主要由两部分组成：节点域开孔钢管的抗剪能力和节点域混凝土的抗剪能力。由于节点域钢管开孔削弱了钢管部分的抗剪能力，因此，不能按照钢管腹板计算钢管部分的抗剪承载力，这会导致高估钢管部分的抗剪能力。开孔区域的钢管从几何形态上可以等效为格构柱，即由四根角钢组成的四肢柱，孔口之间的钢板可以视为连接两侧角钢的缀板。如图</w:t>
      </w:r>
      <w:r>
        <w:rPr>
          <w:rFonts w:hint="eastAsia" w:ascii="Times New Roman" w:eastAsia="宋体"/>
          <w:color w:val="000000"/>
        </w:rPr>
        <w:t>4</w:t>
      </w:r>
      <w:r>
        <w:rPr>
          <w:rFonts w:ascii="Times New Roman" w:eastAsia="宋体"/>
          <w:color w:val="000000"/>
        </w:rPr>
        <w:t>所示：</w:t>
      </w:r>
      <w:bookmarkEnd w:id="406"/>
      <w:bookmarkEnd w:id="407"/>
    </w:p>
    <w:p>
      <w:pPr>
        <w:pStyle w:val="63"/>
        <w:ind w:firstLine="0" w:firstLineChars="0"/>
        <w:jc w:val="center"/>
      </w:pPr>
      <w:r>
        <w:drawing>
          <wp:inline distT="0" distB="0" distL="0" distR="0">
            <wp:extent cx="4404995" cy="1559560"/>
            <wp:effectExtent l="0" t="0" r="0" b="0"/>
            <wp:docPr id="9"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true" noChangeArrowheads="true"/>
                    </pic:cNvPicPr>
                  </pic:nvPicPr>
                  <pic:blipFill>
                    <a:blip r:embed="rId365">
                      <a:extLst>
                        <a:ext uri="{28A0092B-C50C-407E-A947-70E740481C1C}">
                          <a14:useLocalDpi xmlns:a14="http://schemas.microsoft.com/office/drawing/2010/main" val="false"/>
                        </a:ext>
                      </a:extLst>
                    </a:blip>
                    <a:srcRect/>
                    <a:stretch>
                      <a:fillRect/>
                    </a:stretch>
                  </pic:blipFill>
                  <pic:spPr>
                    <a:xfrm>
                      <a:off x="0" y="0"/>
                      <a:ext cx="4446579" cy="1574305"/>
                    </a:xfrm>
                    <a:prstGeom prst="rect">
                      <a:avLst/>
                    </a:prstGeom>
                    <a:noFill/>
                    <a:ln>
                      <a:noFill/>
                    </a:ln>
                  </pic:spPr>
                </pic:pic>
              </a:graphicData>
            </a:graphic>
          </wp:inline>
        </w:drawing>
      </w:r>
    </w:p>
    <w:p>
      <w:pPr>
        <w:pStyle w:val="63"/>
        <w:spacing w:line="400" w:lineRule="exact"/>
        <w:ind w:firstLine="0" w:firstLineChars="0"/>
        <w:jc w:val="center"/>
        <w:rPr>
          <w:rFonts w:ascii="黑体" w:hAnsi="黑体" w:eastAsia="黑体"/>
        </w:rPr>
      </w:pPr>
      <w:r>
        <w:rPr>
          <w:rFonts w:hint="eastAsia" w:ascii="黑体" w:hAnsi="黑体" w:eastAsia="黑体"/>
        </w:rPr>
        <w:t>图4</w:t>
      </w:r>
      <w:r>
        <w:rPr>
          <w:rFonts w:hint="eastAsia" w:ascii="黑体" w:hAnsi="黑体" w:eastAsia="黑体" w:cs="黑体"/>
        </w:rPr>
        <w:t>　</w:t>
      </w:r>
      <w:r>
        <w:rPr>
          <w:rFonts w:hint="eastAsia" w:ascii="黑体" w:hAnsi="黑体" w:eastAsia="黑体"/>
        </w:rPr>
        <w:t>开洞区域钢管简化模型</w:t>
      </w:r>
    </w:p>
    <w:p>
      <w:pPr>
        <w:pStyle w:val="63"/>
        <w:ind w:firstLine="420"/>
      </w:pPr>
      <w:r>
        <w:rPr>
          <w:rFonts w:hint="eastAsia"/>
        </w:rPr>
        <w:t>考虑到未削弱区域的钢管刚度远大于开孔区域钢管的刚度，因此可以将角钢一端取为固定支座，另一端取为滑动支座。对于单侧开双孔的钢管，角钢和缀板之间视为刚接，因而角钢与缀板组成一个双层钢框架，考虑结构的对称性，可取双肢缀板柱进行分析，如图5所示：</w:t>
      </w:r>
    </w:p>
    <w:p>
      <w:pPr>
        <w:pStyle w:val="63"/>
        <w:ind w:firstLine="0" w:firstLineChars="0"/>
        <w:jc w:val="center"/>
      </w:pPr>
      <w:r>
        <w:rPr>
          <w:rFonts w:eastAsia="黑体"/>
          <w:sz w:val="24"/>
          <w:szCs w:val="24"/>
        </w:rPr>
        <w:drawing>
          <wp:inline distT="0" distB="0" distL="0" distR="0">
            <wp:extent cx="4461510" cy="2047240"/>
            <wp:effectExtent l="0" t="0" r="1524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366">
                      <a:extLst>
                        <a:ext uri="{28A0092B-C50C-407E-A947-70E740481C1C}">
                          <a14:useLocalDpi xmlns:a14="http://schemas.microsoft.com/office/drawing/2010/main" val="false"/>
                        </a:ext>
                      </a:extLst>
                    </a:blip>
                    <a:srcRect/>
                    <a:stretch>
                      <a:fillRect/>
                    </a:stretch>
                  </pic:blipFill>
                  <pic:spPr>
                    <a:xfrm>
                      <a:off x="0" y="0"/>
                      <a:ext cx="4484814" cy="2057739"/>
                    </a:xfrm>
                    <a:prstGeom prst="rect">
                      <a:avLst/>
                    </a:prstGeom>
                    <a:noFill/>
                    <a:ln>
                      <a:noFill/>
                    </a:ln>
                  </pic:spPr>
                </pic:pic>
              </a:graphicData>
            </a:graphic>
          </wp:inline>
        </w:drawing>
      </w:r>
    </w:p>
    <w:p>
      <w:pPr>
        <w:pStyle w:val="63"/>
        <w:spacing w:line="400" w:lineRule="exact"/>
        <w:ind w:firstLine="0" w:firstLineChars="0"/>
        <w:jc w:val="center"/>
        <w:rPr>
          <w:rFonts w:ascii="黑体" w:hAnsi="黑体" w:eastAsia="黑体"/>
          <w:szCs w:val="21"/>
        </w:rPr>
      </w:pPr>
      <w:r>
        <w:rPr>
          <w:rFonts w:hint="eastAsia" w:ascii="黑体" w:hAnsi="黑体" w:eastAsia="黑体"/>
        </w:rPr>
        <w:t>图5</w:t>
      </w:r>
      <w:r>
        <w:rPr>
          <w:rFonts w:hint="eastAsia" w:ascii="黑体" w:hAnsi="黑体" w:eastAsia="黑体" w:cs="黑体"/>
        </w:rPr>
        <w:t>　</w:t>
      </w:r>
      <w:r>
        <w:rPr>
          <w:rFonts w:hint="eastAsia" w:ascii="黑体" w:hAnsi="黑体" w:eastAsia="黑体"/>
          <w:szCs w:val="21"/>
        </w:rPr>
        <w:t>双肢缀板柱计算简图</w:t>
      </w:r>
    </w:p>
    <w:p>
      <w:pPr>
        <w:pStyle w:val="63"/>
        <w:ind w:firstLine="420"/>
      </w:pPr>
      <w:r>
        <w:rPr>
          <w:rFonts w:hint="eastAsia"/>
        </w:rPr>
        <w:t>对于单侧开一个大孔的钢管，则没有中部缀板相连，考虑结构的对称性，可取单肢柱进行分析，如图6所示：</w:t>
      </w:r>
    </w:p>
    <w:p>
      <w:pPr>
        <w:pStyle w:val="63"/>
        <w:ind w:firstLine="0" w:firstLineChars="0"/>
        <w:jc w:val="center"/>
      </w:pPr>
      <w:r>
        <w:rPr>
          <w:rFonts w:eastAsia="黑体"/>
          <w:sz w:val="24"/>
          <w:szCs w:val="24"/>
        </w:rPr>
        <w:drawing>
          <wp:inline distT="0" distB="0" distL="0" distR="0">
            <wp:extent cx="4443730" cy="2305050"/>
            <wp:effectExtent l="0" t="0" r="13970" b="0"/>
            <wp:docPr id="1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true" noChangeArrowheads="true"/>
                    </pic:cNvPicPr>
                  </pic:nvPicPr>
                  <pic:blipFill>
                    <a:blip r:embed="rId367">
                      <a:extLst>
                        <a:ext uri="{28A0092B-C50C-407E-A947-70E740481C1C}">
                          <a14:useLocalDpi xmlns:a14="http://schemas.microsoft.com/office/drawing/2010/main" val="false"/>
                        </a:ext>
                      </a:extLst>
                    </a:blip>
                    <a:srcRect/>
                    <a:stretch>
                      <a:fillRect/>
                    </a:stretch>
                  </pic:blipFill>
                  <pic:spPr>
                    <a:xfrm>
                      <a:off x="0" y="0"/>
                      <a:ext cx="4450104" cy="2308343"/>
                    </a:xfrm>
                    <a:prstGeom prst="rect">
                      <a:avLst/>
                    </a:prstGeom>
                    <a:noFill/>
                    <a:ln>
                      <a:noFill/>
                    </a:ln>
                  </pic:spPr>
                </pic:pic>
              </a:graphicData>
            </a:graphic>
          </wp:inline>
        </w:drawing>
      </w:r>
    </w:p>
    <w:p>
      <w:pPr>
        <w:pStyle w:val="63"/>
        <w:spacing w:line="400" w:lineRule="exact"/>
        <w:ind w:firstLine="0" w:firstLineChars="0"/>
        <w:jc w:val="center"/>
        <w:rPr>
          <w:rFonts w:ascii="黑体" w:hAnsi="黑体" w:eastAsia="黑体"/>
          <w:szCs w:val="21"/>
        </w:rPr>
      </w:pPr>
      <w:r>
        <w:rPr>
          <w:rFonts w:hint="eastAsia" w:ascii="黑体" w:hAnsi="黑体" w:eastAsia="黑体"/>
        </w:rPr>
        <w:t>图6</w:t>
      </w:r>
      <w:r>
        <w:rPr>
          <w:rFonts w:hint="eastAsia" w:ascii="黑体" w:hAnsi="黑体" w:eastAsia="黑体" w:cs="黑体"/>
        </w:rPr>
        <w:t>　</w:t>
      </w:r>
      <w:r>
        <w:rPr>
          <w:rFonts w:hint="eastAsia" w:ascii="黑体" w:hAnsi="黑体" w:eastAsia="黑体"/>
          <w:szCs w:val="21"/>
        </w:rPr>
        <w:t>单肢柱计算简图</w:t>
      </w:r>
    </w:p>
    <w:p>
      <w:pPr>
        <w:pStyle w:val="63"/>
        <w:ind w:firstLine="420"/>
      </w:pPr>
      <w:r>
        <w:rPr>
          <w:rFonts w:hint="eastAsia"/>
        </w:rPr>
        <w:t>根据有限元分析，在轴力和横向剪力作用下，双肢缀板柱发生整体挠曲时，可以得到角钢和缀板形成塑性铰的位置，同时，并利用杆系结构线弹性分析方法，得到缀板和分肢的极限剪力和弯矩，按公式</w:t>
      </w:r>
      <w:r>
        <w:rPr>
          <w:rFonts w:hint="eastAsia"/>
          <w:lang w:val="zh-CN"/>
        </w:rPr>
        <w:t>（</w:t>
      </w:r>
      <w:r>
        <w:rPr>
          <w:rFonts w:hAnsi="宋体"/>
          <w:bCs/>
          <w:spacing w:val="-1"/>
          <w:szCs w:val="21"/>
        </w:rPr>
        <w:t>2</w:t>
      </w:r>
      <w:r>
        <w:rPr>
          <w:rFonts w:hint="eastAsia"/>
          <w:lang w:val="zh-CN"/>
        </w:rPr>
        <w:t>）-（</w:t>
      </w:r>
      <w:r>
        <w:rPr>
          <w:rFonts w:hAnsi="宋体"/>
          <w:bCs/>
          <w:spacing w:val="-1"/>
          <w:szCs w:val="21"/>
        </w:rPr>
        <w:t>5</w:t>
      </w:r>
      <w:r>
        <w:rPr>
          <w:rFonts w:hint="eastAsia"/>
          <w:lang w:val="zh-CN"/>
        </w:rPr>
        <w:t>）计算</w:t>
      </w:r>
      <w:r>
        <w:rPr>
          <w:rFonts w:hint="eastAsia"/>
        </w:rPr>
        <w:t>：</w:t>
      </w:r>
    </w:p>
    <w:tbl>
      <w:tblPr>
        <w:tblStyle w:val="8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vAlign w:val="center"/>
          </w:tcPr>
          <w:p>
            <w:pPr>
              <w:ind w:firstLine="0" w:firstLineChars="0"/>
              <w:jc w:val="center"/>
              <w:rPr>
                <w:rFonts w:cs="Times New Roman"/>
                <w:szCs w:val="20"/>
              </w:rPr>
            </w:pPr>
            <w:r>
              <w:rPr>
                <w:rFonts w:cs="Times New Roman"/>
                <w:sz w:val="24"/>
              </w:rPr>
              <w:t xml:space="preserve">                            </w:t>
            </w:r>
            <w:r>
              <w:rPr>
                <w:rFonts w:cs="Times New Roman"/>
                <w:position w:val="-20"/>
                <w:sz w:val="24"/>
              </w:rPr>
              <w:object>
                <v:shape id="_x0000_i1202" o:spt="75" type="#_x0000_t75" style="height:36.3pt;width:122.1pt;" o:ole="t" filled="f" o:preferrelative="t" stroked="f" coordsize="21600,21600">
                  <v:path/>
                  <v:fill on="f" focussize="0,0"/>
                  <v:stroke on="f" joinstyle="miter"/>
                  <v:imagedata r:id="rId369" o:title=""/>
                  <o:lock v:ext="edit" aspectratio="t"/>
                  <w10:wrap type="none"/>
                  <w10:anchorlock/>
                </v:shape>
                <o:OLEObject Type="Embed" ProgID="Equation.DSMT4" ShapeID="_x0000_i1202" DrawAspect="Content" ObjectID="_1468075902" r:id="rId368">
                  <o:LockedField>false</o:LockedField>
                </o:OLEObject>
              </w:object>
            </w:r>
            <w:r>
              <w:rPr>
                <w:rFonts w:cs="Times New Roman"/>
                <w:sz w:val="24"/>
              </w:rPr>
              <w:t xml:space="preserve">                         </w:t>
            </w:r>
            <w:r>
              <w:rPr>
                <w:rFonts w:hint="eastAsia" w:cs="Times New Roman"/>
              </w:rPr>
              <w:t>(</w:t>
            </w:r>
            <w:r>
              <w:rPr>
                <w:rFonts w:cs="Times New Roman"/>
              </w:rPr>
              <w:t>2</w:t>
            </w:r>
            <w:r>
              <w:rPr>
                <w:rFonts w:hint="eastAsia"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szCs w:val="20"/>
              </w:rPr>
            </w:pPr>
            <w:r>
              <w:rPr>
                <w:rFonts w:cs="Times New Roman"/>
                <w:sz w:val="24"/>
              </w:rPr>
              <w:t xml:space="preserve">                             </w:t>
            </w:r>
            <w:r>
              <w:rPr>
                <w:rFonts w:cs="Times New Roman"/>
                <w:position w:val="-20"/>
                <w:sz w:val="24"/>
              </w:rPr>
              <w:object>
                <v:shape id="_x0000_i1203" o:spt="75" type="#_x0000_t75" style="height:28.8pt;width:100.15pt;" o:ole="t" filled="f" o:preferrelative="t" stroked="f" coordsize="21600,21600">
                  <v:path/>
                  <v:fill on="f" focussize="0,0"/>
                  <v:stroke on="f" joinstyle="miter"/>
                  <v:imagedata r:id="rId371" o:title=""/>
                  <o:lock v:ext="edit" aspectratio="t"/>
                  <w10:wrap type="none"/>
                  <w10:anchorlock/>
                </v:shape>
                <o:OLEObject Type="Embed" ProgID="Equation.DSMT4" ShapeID="_x0000_i1203" DrawAspect="Content" ObjectID="_1468075903" r:id="rId370">
                  <o:LockedField>false</o:LockedField>
                </o:OLEObject>
              </w:object>
            </w:r>
            <w:r>
              <w:rPr>
                <w:rFonts w:cs="Times New Roman"/>
                <w:sz w:val="24"/>
              </w:rPr>
              <w:t xml:space="preserve">                            </w:t>
            </w:r>
            <w:r>
              <w:rPr>
                <w:rFonts w:hint="eastAsia" w:cs="Times New Roman"/>
              </w:rPr>
              <w:t>(</w:t>
            </w:r>
            <w:r>
              <w:rPr>
                <w:rFonts w:cs="Times New Roman"/>
              </w:rPr>
              <w:t>3</w:t>
            </w:r>
            <w:r>
              <w:rPr>
                <w:rFonts w:hint="eastAsia"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sz w:val="24"/>
              </w:rPr>
            </w:pPr>
            <w:r>
              <w:rPr>
                <w:rFonts w:cs="Times New Roman"/>
                <w:sz w:val="24"/>
              </w:rPr>
              <w:t xml:space="preserve">                                   </w:t>
            </w:r>
            <w:r>
              <w:rPr>
                <w:rFonts w:cs="Times New Roman"/>
                <w:position w:val="-20"/>
                <w:sz w:val="24"/>
              </w:rPr>
              <w:object>
                <v:shape id="_x0000_i1204" o:spt="75" type="#_x0000_t75" style="height:36.3pt;width:43.2pt;" o:ole="t" filled="f" o:preferrelative="t" stroked="f" coordsize="21600,21600">
                  <v:path/>
                  <v:fill on="f" focussize="0,0"/>
                  <v:stroke on="f" joinstyle="miter"/>
                  <v:imagedata r:id="rId373" o:title=""/>
                  <o:lock v:ext="edit" aspectratio="t"/>
                  <w10:wrap type="none"/>
                  <w10:anchorlock/>
                </v:shape>
                <o:OLEObject Type="Embed" ProgID="Equation.DSMT4" ShapeID="_x0000_i1204" DrawAspect="Content" ObjectID="_1468075904" r:id="rId372">
                  <o:LockedField>false</o:LockedField>
                </o:OLEObject>
              </w:object>
            </w:r>
            <w:r>
              <w:rPr>
                <w:rFonts w:cs="Times New Roman"/>
                <w:sz w:val="24"/>
              </w:rPr>
              <w:t xml:space="preserve">                               </w:t>
            </w:r>
            <w:r>
              <w:rPr>
                <w:rFonts w:hint="eastAsia" w:cs="Times New Roman"/>
              </w:rPr>
              <w:t>(</w:t>
            </w:r>
            <w:r>
              <w:rPr>
                <w:rFonts w:cs="Times New Roman"/>
              </w:rPr>
              <w:t>4</w:t>
            </w:r>
            <w:r>
              <w:rPr>
                <w:rFonts w:hint="eastAsia"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sz w:val="24"/>
              </w:rPr>
            </w:pPr>
            <w:r>
              <w:rPr>
                <w:rFonts w:cs="Times New Roman"/>
                <w:sz w:val="24"/>
              </w:rPr>
              <w:t xml:space="preserve">                           </w:t>
            </w:r>
            <w:r>
              <w:rPr>
                <w:rFonts w:cs="Times New Roman"/>
                <w:position w:val="-12"/>
                <w:sz w:val="24"/>
              </w:rPr>
              <w:object>
                <v:shape id="_x0000_i1205" o:spt="75" type="#_x0000_t75" style="height:21.9pt;width:136.5pt;" o:ole="t" filled="f" o:preferrelative="t" stroked="f" coordsize="21600,21600">
                  <v:path/>
                  <v:fill on="f" focussize="0,0"/>
                  <v:stroke on="f" joinstyle="miter"/>
                  <v:imagedata r:id="rId375" o:title=""/>
                  <o:lock v:ext="edit" aspectratio="t"/>
                  <w10:wrap type="none"/>
                  <w10:anchorlock/>
                </v:shape>
                <o:OLEObject Type="Embed" ProgID="Equation.DSMT4" ShapeID="_x0000_i1205" DrawAspect="Content" ObjectID="_1468075905" r:id="rId374">
                  <o:LockedField>false</o:LockedField>
                </o:OLEObject>
              </w:object>
            </w:r>
            <w:r>
              <w:rPr>
                <w:rFonts w:cs="Times New Roman"/>
                <w:sz w:val="24"/>
              </w:rPr>
              <w:t xml:space="preserve">                       </w:t>
            </w:r>
            <w:r>
              <w:rPr>
                <w:rFonts w:hint="eastAsia" w:cs="Times New Roman"/>
              </w:rPr>
              <w:t>(</w:t>
            </w:r>
            <w:r>
              <w:rPr>
                <w:rFonts w:cs="Times New Roman"/>
              </w:rPr>
              <w:t>5</w:t>
            </w:r>
            <w:r>
              <w:rPr>
                <w:rFonts w:hint="eastAsia" w:cs="Times New Roman"/>
              </w:rPr>
              <w:t>)</w:t>
            </w:r>
          </w:p>
        </w:tc>
      </w:tr>
    </w:tbl>
    <w:p>
      <w:pPr>
        <w:pStyle w:val="63"/>
        <w:ind w:firstLine="420"/>
      </w:pPr>
      <w:r>
        <w:rPr>
          <w:rFonts w:hint="eastAsia"/>
        </w:rPr>
        <w:t>对于单侧开一个孔口的钢管，利用杆系结构线弹性分析方法（图7</w:t>
      </w:r>
      <w:r>
        <w:rPr>
          <w:rFonts w:hint="eastAsia" w:hAnsi="宋体"/>
          <w:color w:val="000000"/>
        </w:rPr>
        <w:t>~</w:t>
      </w:r>
      <w:r>
        <w:rPr>
          <w:rFonts w:hAnsi="宋体"/>
          <w:color w:val="000000"/>
        </w:rPr>
        <w:t>9</w:t>
      </w:r>
      <w:r>
        <w:rPr>
          <w:rFonts w:hint="eastAsia"/>
        </w:rPr>
        <w:t>），得到单肢的极限剪力和弯矩，按公式</w:t>
      </w:r>
      <w:r>
        <w:rPr>
          <w:rFonts w:hint="eastAsia"/>
          <w:lang w:val="zh-CN"/>
        </w:rPr>
        <w:t>（</w:t>
      </w:r>
      <w:r>
        <w:rPr>
          <w:rFonts w:hAnsi="宋体"/>
          <w:bCs/>
          <w:spacing w:val="-1"/>
          <w:szCs w:val="21"/>
        </w:rPr>
        <w:t>6</w:t>
      </w:r>
      <w:r>
        <w:rPr>
          <w:rFonts w:hint="eastAsia"/>
          <w:lang w:val="zh-CN"/>
        </w:rPr>
        <w:t>）-（</w:t>
      </w:r>
      <w:r>
        <w:rPr>
          <w:rFonts w:hAnsi="宋体"/>
          <w:bCs/>
          <w:spacing w:val="-1"/>
          <w:szCs w:val="21"/>
        </w:rPr>
        <w:t>7</w:t>
      </w:r>
      <w:r>
        <w:rPr>
          <w:rFonts w:hint="eastAsia"/>
          <w:lang w:val="zh-CN"/>
        </w:rPr>
        <w:t>）计算</w:t>
      </w:r>
      <w:r>
        <w:rPr>
          <w:rFonts w:hint="eastAsia"/>
        </w:rPr>
        <w:t>：</w:t>
      </w:r>
    </w:p>
    <w:tbl>
      <w:tblPr>
        <w:tblStyle w:val="8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vAlign w:val="center"/>
          </w:tcPr>
          <w:p>
            <w:pPr>
              <w:ind w:firstLine="0" w:firstLineChars="0"/>
              <w:jc w:val="center"/>
              <w:rPr>
                <w:rFonts w:cs="Times New Roman"/>
                <w:sz w:val="24"/>
              </w:rPr>
            </w:pPr>
            <w:r>
              <w:rPr>
                <w:rFonts w:cs="Times New Roman"/>
                <w:sz w:val="24"/>
              </w:rPr>
              <w:t xml:space="preserve">                                  </w:t>
            </w:r>
            <w:r>
              <w:rPr>
                <w:rFonts w:cs="Times New Roman"/>
                <w:position w:val="-20"/>
                <w:sz w:val="24"/>
              </w:rPr>
              <w:object>
                <v:shape id="_x0000_i1206" o:spt="75" type="#_x0000_t75" style="height:36.3pt;width:43.85pt;" o:ole="t" filled="f" o:preferrelative="t" stroked="f" coordsize="21600,21600">
                  <v:path/>
                  <v:fill on="f" focussize="0,0"/>
                  <v:stroke on="f" joinstyle="miter"/>
                  <v:imagedata r:id="rId373" o:title=""/>
                  <o:lock v:ext="edit" aspectratio="t"/>
                  <w10:wrap type="none"/>
                  <w10:anchorlock/>
                </v:shape>
                <o:OLEObject Type="Embed" ProgID="Equation.DSMT4" ShapeID="_x0000_i1206" DrawAspect="Content" ObjectID="_1468075906" r:id="rId376">
                  <o:LockedField>false</o:LockedField>
                </o:OLEObject>
              </w:object>
            </w:r>
            <w:r>
              <w:rPr>
                <w:rFonts w:cs="Times New Roman"/>
                <w:sz w:val="24"/>
              </w:rPr>
              <w:t xml:space="preserve">                                </w:t>
            </w:r>
            <w:r>
              <w:rPr>
                <w:rFonts w:hint="eastAsia" w:cs="Times New Roman"/>
              </w:rPr>
              <w:t>(</w:t>
            </w:r>
            <w:r>
              <w:rPr>
                <w:rFonts w:cs="Times New Roman"/>
              </w:rPr>
              <w:t>6</w:t>
            </w:r>
            <w:r>
              <w:rPr>
                <w:rFonts w:hint="eastAsia"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vAlign w:val="center"/>
          </w:tcPr>
          <w:p>
            <w:pPr>
              <w:ind w:firstLine="0" w:firstLineChars="0"/>
              <w:jc w:val="center"/>
              <w:rPr>
                <w:rFonts w:cs="Times New Roman"/>
                <w:sz w:val="24"/>
              </w:rPr>
            </w:pPr>
            <w:r>
              <w:rPr>
                <w:rFonts w:cs="Times New Roman"/>
                <w:sz w:val="24"/>
              </w:rPr>
              <w:t xml:space="preserve">                           </w:t>
            </w:r>
            <w:r>
              <w:rPr>
                <w:rFonts w:cs="Times New Roman"/>
                <w:position w:val="-12"/>
                <w:sz w:val="24"/>
              </w:rPr>
              <w:object>
                <v:shape id="_x0000_i1207" o:spt="75" type="#_x0000_t75" style="height:21.9pt;width:144pt;" o:ole="t" filled="f" o:preferrelative="t" stroked="f" coordsize="21600,21600">
                  <v:path/>
                  <v:fill on="f" focussize="0,0"/>
                  <v:stroke on="f" joinstyle="miter"/>
                  <v:imagedata r:id="rId378" o:title=""/>
                  <o:lock v:ext="edit" aspectratio="t"/>
                  <w10:wrap type="none"/>
                  <w10:anchorlock/>
                </v:shape>
                <o:OLEObject Type="Embed" ProgID="Equation.DSMT4" ShapeID="_x0000_i1207" DrawAspect="Content" ObjectID="_1468075907" r:id="rId377">
                  <o:LockedField>false</o:LockedField>
                </o:OLEObject>
              </w:object>
            </w:r>
            <w:r>
              <w:rPr>
                <w:rFonts w:cs="Times New Roman"/>
                <w:sz w:val="24"/>
              </w:rPr>
              <w:t xml:space="preserve">                      </w:t>
            </w:r>
            <w:r>
              <w:rPr>
                <w:rFonts w:hint="eastAsia" w:cs="Times New Roman"/>
              </w:rPr>
              <w:t>(</w:t>
            </w:r>
            <w:r>
              <w:rPr>
                <w:rFonts w:cs="Times New Roman"/>
              </w:rPr>
              <w:t>7</w:t>
            </w:r>
            <w:r>
              <w:rPr>
                <w:rFonts w:hint="eastAsia" w:cs="Times New Roman"/>
              </w:rPr>
              <w:t>)</w:t>
            </w:r>
          </w:p>
        </w:tc>
      </w:tr>
    </w:tbl>
    <w:p>
      <w:pPr>
        <w:spacing w:line="240" w:lineRule="auto"/>
        <w:ind w:firstLine="420"/>
        <w:rPr>
          <w:rFonts w:cs="Times New Roman"/>
          <w:color w:val="5B9BD5" w:themeColor="accent1"/>
          <w14:textFill>
            <w14:solidFill>
              <w14:schemeClr w14:val="accent1"/>
            </w14:solidFill>
          </w14:textFill>
        </w:rPr>
      </w:pPr>
      <w:r>
        <w:rPr>
          <w:rFonts w:cs="Times New Roman"/>
        </w:rPr>
        <w:t>式中：</w:t>
      </w:r>
      <w:r>
        <w:rPr>
          <w:rFonts w:cs="Times New Roman"/>
          <w:i/>
          <w:iCs/>
        </w:rPr>
        <w:t>h</w:t>
      </w:r>
      <w:r>
        <w:rPr>
          <w:rFonts w:cs="Times New Roman"/>
          <w:vertAlign w:val="subscript"/>
        </w:rPr>
        <w:t>0</w:t>
      </w:r>
      <w:r>
        <w:rPr>
          <w:rFonts w:cs="Times New Roman"/>
        </w:rPr>
        <w:t>为钢管开孔区域洞口高；</w:t>
      </w:r>
      <w:r>
        <w:rPr>
          <w:rFonts w:cs="Times New Roman"/>
          <w:i/>
          <w:iCs/>
        </w:rPr>
        <w:t>b</w:t>
      </w:r>
      <w:r>
        <w:rPr>
          <w:rFonts w:cs="Times New Roman"/>
          <w:vertAlign w:val="subscript"/>
        </w:rPr>
        <w:t>0</w:t>
      </w:r>
      <w:r>
        <w:rPr>
          <w:rFonts w:cs="Times New Roman"/>
        </w:rPr>
        <w:t>为钢管开孔区域孔口宽。</w:t>
      </w:r>
    </w:p>
    <w:tbl>
      <w:tblPr>
        <w:tblStyle w:val="9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49"/>
        <w:gridCol w:w="3101"/>
        <w:gridCol w:w="3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3" w:type="pct"/>
            <w:vAlign w:val="center"/>
          </w:tcPr>
          <w:p>
            <w:pPr>
              <w:adjustRightInd/>
              <w:snapToGrid/>
              <w:spacing w:line="240" w:lineRule="auto"/>
              <w:ind w:firstLine="0" w:firstLineChars="0"/>
              <w:jc w:val="center"/>
              <w:rPr>
                <w:rFonts w:ascii="宋体" w:hAnsi="宋体" w:cs="Times New Roman"/>
                <w:sz w:val="24"/>
                <w:szCs w:val="24"/>
              </w:rPr>
            </w:pPr>
            <w:r>
              <w:rPr>
                <w:rFonts w:ascii="宋体" w:hAnsi="宋体" w:cs="Times New Roman"/>
                <w:sz w:val="24"/>
                <w:szCs w:val="24"/>
              </w:rPr>
              <w:drawing>
                <wp:inline distT="0" distB="0" distL="0" distR="0">
                  <wp:extent cx="1604010" cy="1439545"/>
                  <wp:effectExtent l="0" t="0" r="0" b="8255"/>
                  <wp:docPr id="2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true" noChangeArrowheads="true"/>
                          </pic:cNvPicPr>
                        </pic:nvPicPr>
                        <pic:blipFill>
                          <a:blip r:embed="rId379" cstate="print">
                            <a:extLst>
                              <a:ext uri="{28A0092B-C50C-407E-A947-70E740481C1C}">
                                <a14:useLocalDpi xmlns:a14="http://schemas.microsoft.com/office/drawing/2010/main" val="false"/>
                              </a:ext>
                            </a:extLst>
                          </a:blip>
                          <a:srcRect/>
                          <a:stretch>
                            <a:fillRect/>
                          </a:stretch>
                        </pic:blipFill>
                        <pic:spPr>
                          <a:xfrm>
                            <a:off x="0" y="0"/>
                            <a:ext cx="1604163" cy="1440000"/>
                          </a:xfrm>
                          <a:prstGeom prst="rect">
                            <a:avLst/>
                          </a:prstGeom>
                          <a:noFill/>
                          <a:ln>
                            <a:noFill/>
                          </a:ln>
                        </pic:spPr>
                      </pic:pic>
                    </a:graphicData>
                  </a:graphic>
                </wp:inline>
              </w:drawing>
            </w:r>
          </w:p>
        </w:tc>
        <w:tc>
          <w:tcPr>
            <w:tcW w:w="1620" w:type="pct"/>
            <w:vAlign w:val="center"/>
          </w:tcPr>
          <w:p>
            <w:pPr>
              <w:adjustRightInd/>
              <w:snapToGrid/>
              <w:spacing w:line="240" w:lineRule="auto"/>
              <w:ind w:firstLine="0" w:firstLineChars="0"/>
              <w:jc w:val="center"/>
              <w:rPr>
                <w:rFonts w:ascii="宋体" w:hAnsi="宋体" w:cs="Times New Roman"/>
                <w:sz w:val="24"/>
                <w:szCs w:val="24"/>
              </w:rPr>
            </w:pPr>
            <w:r>
              <w:rPr>
                <w:rFonts w:ascii="宋体" w:hAnsi="宋体" w:cs="Times New Roman"/>
                <w:sz w:val="24"/>
                <w:szCs w:val="24"/>
              </w:rPr>
              <w:drawing>
                <wp:inline distT="0" distB="0" distL="0" distR="0">
                  <wp:extent cx="1648460" cy="1511935"/>
                  <wp:effectExtent l="0" t="0" r="0" b="0"/>
                  <wp:docPr id="2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true" noChangeArrowheads="true"/>
                          </pic:cNvPicPr>
                        </pic:nvPicPr>
                        <pic:blipFill>
                          <a:blip r:embed="rId380" cstate="print">
                            <a:extLst>
                              <a:ext uri="{28A0092B-C50C-407E-A947-70E740481C1C}">
                                <a14:useLocalDpi xmlns:a14="http://schemas.microsoft.com/office/drawing/2010/main" val="false"/>
                              </a:ext>
                            </a:extLst>
                          </a:blip>
                          <a:srcRect/>
                          <a:stretch>
                            <a:fillRect/>
                          </a:stretch>
                        </pic:blipFill>
                        <pic:spPr>
                          <a:xfrm>
                            <a:off x="0" y="0"/>
                            <a:ext cx="1649093" cy="1512000"/>
                          </a:xfrm>
                          <a:prstGeom prst="rect">
                            <a:avLst/>
                          </a:prstGeom>
                          <a:noFill/>
                          <a:ln>
                            <a:noFill/>
                          </a:ln>
                        </pic:spPr>
                      </pic:pic>
                    </a:graphicData>
                  </a:graphic>
                </wp:inline>
              </w:drawing>
            </w:r>
          </w:p>
        </w:tc>
        <w:tc>
          <w:tcPr>
            <w:tcW w:w="1787" w:type="pct"/>
            <w:vAlign w:val="center"/>
          </w:tcPr>
          <w:p>
            <w:pPr>
              <w:adjustRightInd/>
              <w:snapToGrid/>
              <w:spacing w:line="240" w:lineRule="auto"/>
              <w:ind w:firstLine="0" w:firstLineChars="0"/>
              <w:jc w:val="center"/>
              <w:rPr>
                <w:rFonts w:ascii="宋体" w:hAnsi="宋体" w:cs="Times New Roman"/>
                <w:sz w:val="24"/>
                <w:szCs w:val="24"/>
              </w:rPr>
            </w:pPr>
            <w:r>
              <w:rPr>
                <w:rFonts w:ascii="宋体" w:hAnsi="宋体" w:cs="Times New Roman"/>
                <w:sz w:val="24"/>
                <w:szCs w:val="24"/>
              </w:rPr>
              <w:drawing>
                <wp:inline distT="0" distB="0" distL="0" distR="0">
                  <wp:extent cx="1832610" cy="1439545"/>
                  <wp:effectExtent l="0" t="0" r="15240" b="8255"/>
                  <wp:docPr id="3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true" noChangeArrowheads="true"/>
                          </pic:cNvPicPr>
                        </pic:nvPicPr>
                        <pic:blipFill>
                          <a:blip r:embed="rId381" cstate="print">
                            <a:extLst>
                              <a:ext uri="{28A0092B-C50C-407E-A947-70E740481C1C}">
                                <a14:useLocalDpi xmlns:a14="http://schemas.microsoft.com/office/drawing/2010/main" val="false"/>
                              </a:ext>
                            </a:extLst>
                          </a:blip>
                          <a:srcRect/>
                          <a:stretch>
                            <a:fillRect/>
                          </a:stretch>
                        </pic:blipFill>
                        <pic:spPr>
                          <a:xfrm>
                            <a:off x="0" y="0"/>
                            <a:ext cx="1833129"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3" w:type="pct"/>
            <w:vAlign w:val="center"/>
          </w:tcPr>
          <w:p>
            <w:pPr>
              <w:adjustRightInd/>
              <w:snapToGrid/>
              <w:spacing w:line="240" w:lineRule="auto"/>
              <w:ind w:firstLine="0" w:firstLineChars="0"/>
              <w:jc w:val="center"/>
              <w:rPr>
                <w:rFonts w:cs="Times New Roman"/>
                <w:szCs w:val="21"/>
              </w:rPr>
            </w:pPr>
            <w:r>
              <w:rPr>
                <w:rFonts w:ascii="宋体" w:hAnsi="宋体" w:cs="Times New Roman"/>
                <w:bCs/>
                <w:color w:val="000000"/>
                <w:spacing w:val="-3"/>
                <w:kern w:val="32"/>
                <w:szCs w:val="28"/>
              </w:rPr>
              <w:t xml:space="preserve"> </w:t>
            </w:r>
            <w:r>
              <w:rPr>
                <w:rFonts w:hint="eastAsia" w:ascii="宋体" w:hAnsi="宋体" w:cs="Times New Roman"/>
                <w:bCs/>
                <w:color w:val="000000"/>
                <w:spacing w:val="-3"/>
                <w:kern w:val="32"/>
                <w:szCs w:val="28"/>
              </w:rPr>
              <w:t>a)</w:t>
            </w:r>
            <w:r>
              <w:rPr>
                <w:rFonts w:ascii="宋体" w:hAnsi="宋体" w:cs="Times New Roman"/>
                <w:bCs/>
                <w:color w:val="000000"/>
                <w:spacing w:val="-3"/>
                <w:kern w:val="32"/>
                <w:szCs w:val="28"/>
              </w:rPr>
              <w:t xml:space="preserve"> </w:t>
            </w:r>
            <w:r>
              <w:rPr>
                <w:rFonts w:hint="eastAsia" w:cs="Times New Roman"/>
                <w:szCs w:val="21"/>
              </w:rPr>
              <w:t>单侧开一个</w:t>
            </w:r>
            <w:r>
              <w:rPr>
                <w:rFonts w:hint="eastAsia" w:cs="Times New Roman"/>
              </w:rPr>
              <w:t>孔</w:t>
            </w:r>
            <w:r>
              <w:rPr>
                <w:rFonts w:hint="eastAsia" w:cs="Times New Roman"/>
                <w:szCs w:val="21"/>
              </w:rPr>
              <w:t>口（MPa）</w:t>
            </w:r>
          </w:p>
        </w:tc>
        <w:tc>
          <w:tcPr>
            <w:tcW w:w="1620" w:type="pct"/>
            <w:vAlign w:val="center"/>
          </w:tcPr>
          <w:p>
            <w:pPr>
              <w:adjustRightInd/>
              <w:snapToGrid/>
              <w:spacing w:line="240" w:lineRule="auto"/>
              <w:ind w:firstLine="0" w:firstLineChars="0"/>
              <w:jc w:val="center"/>
              <w:rPr>
                <w:rFonts w:ascii="宋体" w:hAnsi="宋体" w:cs="Times New Roman"/>
                <w:sz w:val="24"/>
                <w:szCs w:val="24"/>
              </w:rPr>
            </w:pPr>
            <w:r>
              <w:rPr>
                <w:rFonts w:ascii="宋体" w:hAnsi="宋体" w:cs="Times New Roman"/>
                <w:bCs/>
                <w:color w:val="000000"/>
                <w:spacing w:val="-3"/>
                <w:kern w:val="32"/>
                <w:szCs w:val="28"/>
              </w:rPr>
              <w:t xml:space="preserve"> b</w:t>
            </w:r>
            <w:r>
              <w:rPr>
                <w:rFonts w:hint="eastAsia" w:ascii="宋体" w:hAnsi="宋体" w:cs="Times New Roman"/>
                <w:bCs/>
                <w:color w:val="000000"/>
                <w:spacing w:val="-3"/>
                <w:kern w:val="32"/>
                <w:szCs w:val="28"/>
              </w:rPr>
              <w:t>)</w:t>
            </w:r>
            <w:r>
              <w:rPr>
                <w:rFonts w:ascii="宋体" w:hAnsi="宋体" w:cs="Times New Roman"/>
                <w:bCs/>
                <w:color w:val="000000"/>
                <w:spacing w:val="-3"/>
                <w:kern w:val="32"/>
                <w:szCs w:val="28"/>
              </w:rPr>
              <w:t xml:space="preserve"> </w:t>
            </w:r>
            <w:r>
              <w:rPr>
                <w:rFonts w:hint="eastAsia" w:cs="Times New Roman"/>
                <w:szCs w:val="21"/>
              </w:rPr>
              <w:t>单层开两个</w:t>
            </w:r>
            <w:r>
              <w:rPr>
                <w:rFonts w:hint="eastAsia" w:cs="Times New Roman"/>
              </w:rPr>
              <w:t>孔</w:t>
            </w:r>
            <w:r>
              <w:rPr>
                <w:rFonts w:hint="eastAsia" w:cs="Times New Roman"/>
                <w:szCs w:val="21"/>
              </w:rPr>
              <w:t>口（MPa）</w:t>
            </w:r>
          </w:p>
        </w:tc>
        <w:tc>
          <w:tcPr>
            <w:tcW w:w="1787" w:type="pct"/>
            <w:vAlign w:val="center"/>
          </w:tcPr>
          <w:p>
            <w:pPr>
              <w:adjustRightInd/>
              <w:snapToGrid/>
              <w:spacing w:line="240" w:lineRule="auto"/>
              <w:ind w:firstLine="0" w:firstLineChars="0"/>
              <w:jc w:val="center"/>
              <w:rPr>
                <w:rFonts w:ascii="宋体" w:hAnsi="宋体" w:cs="Times New Roman"/>
                <w:sz w:val="24"/>
                <w:szCs w:val="24"/>
              </w:rPr>
            </w:pPr>
            <w:r>
              <w:rPr>
                <w:rFonts w:ascii="宋体" w:hAnsi="宋体" w:cs="Times New Roman"/>
                <w:bCs/>
                <w:color w:val="000000"/>
                <w:spacing w:val="-3"/>
                <w:kern w:val="32"/>
                <w:szCs w:val="28"/>
              </w:rPr>
              <w:t>c</w:t>
            </w:r>
            <w:r>
              <w:rPr>
                <w:rFonts w:hint="eastAsia" w:ascii="宋体" w:hAnsi="宋体" w:cs="Times New Roman"/>
                <w:bCs/>
                <w:color w:val="000000"/>
                <w:spacing w:val="-3"/>
                <w:kern w:val="32"/>
                <w:szCs w:val="28"/>
              </w:rPr>
              <w:t>)</w:t>
            </w:r>
            <w:r>
              <w:rPr>
                <w:rFonts w:ascii="宋体" w:hAnsi="宋体" w:cs="Times New Roman"/>
                <w:bCs/>
                <w:color w:val="000000"/>
                <w:spacing w:val="-3"/>
                <w:kern w:val="32"/>
                <w:szCs w:val="28"/>
              </w:rPr>
              <w:t xml:space="preserve"> </w:t>
            </w:r>
            <w:r>
              <w:rPr>
                <w:rFonts w:hint="eastAsia" w:cs="Times New Roman"/>
                <w:szCs w:val="21"/>
              </w:rPr>
              <w:t>核心区混凝土损伤</w:t>
            </w:r>
          </w:p>
        </w:tc>
      </w:tr>
    </w:tbl>
    <w:p>
      <w:pPr>
        <w:pStyle w:val="63"/>
        <w:spacing w:line="400" w:lineRule="exact"/>
        <w:ind w:firstLine="0" w:firstLineChars="0"/>
        <w:jc w:val="center"/>
        <w:rPr>
          <w:rFonts w:ascii="黑体" w:hAnsi="黑体" w:eastAsia="黑体"/>
        </w:rPr>
      </w:pPr>
      <w:r>
        <w:rPr>
          <w:rFonts w:hint="eastAsia" w:ascii="黑体" w:hAnsi="黑体" w:eastAsia="黑体"/>
        </w:rPr>
        <w:t>图7</w:t>
      </w:r>
      <w:r>
        <w:rPr>
          <w:rFonts w:hint="eastAsia" w:ascii="黑体" w:hAnsi="黑体" w:eastAsia="黑体" w:cs="黑体"/>
        </w:rPr>
        <w:t>　</w:t>
      </w:r>
      <w:r>
        <w:rPr>
          <w:rFonts w:hint="eastAsia" w:ascii="黑体" w:hAnsi="黑体" w:eastAsia="黑体"/>
        </w:rPr>
        <w:t>开孔钢管应力分布和混凝土损伤分布</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9"/>
        <w:gridCol w:w="3189"/>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nil"/>
              <w:left w:val="nil"/>
              <w:bottom w:val="nil"/>
              <w:right w:val="nil"/>
            </w:tcBorders>
          </w:tcPr>
          <w:p>
            <w:pPr>
              <w:widowControl/>
              <w:spacing w:line="240" w:lineRule="auto"/>
              <w:ind w:firstLine="0" w:firstLineChars="0"/>
              <w:jc w:val="center"/>
              <w:rPr>
                <w:rFonts w:eastAsia="黑体" w:cs="Times New Roman"/>
                <w:szCs w:val="24"/>
              </w:rPr>
            </w:pPr>
            <w:r>
              <w:rPr>
                <w:rFonts w:hint="eastAsia" w:eastAsia="黑体" w:cs="Times New Roman"/>
                <w:szCs w:val="24"/>
              </w:rPr>
              <w:drawing>
                <wp:inline distT="0" distB="0" distL="0" distR="0">
                  <wp:extent cx="1652270" cy="2159635"/>
                  <wp:effectExtent l="0" t="0" r="0" b="12065"/>
                  <wp:docPr id="3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true" noChangeArrowheads="true"/>
                          </pic:cNvPicPr>
                        </pic:nvPicPr>
                        <pic:blipFill>
                          <a:blip r:embed="rId382" cstate="print">
                            <a:extLst>
                              <a:ext uri="{28A0092B-C50C-407E-A947-70E740481C1C}">
                                <a14:useLocalDpi xmlns:a14="http://schemas.microsoft.com/office/drawing/2010/main" val="false"/>
                              </a:ext>
                            </a:extLst>
                          </a:blip>
                          <a:srcRect/>
                          <a:stretch>
                            <a:fillRect/>
                          </a:stretch>
                        </pic:blipFill>
                        <pic:spPr>
                          <a:xfrm>
                            <a:off x="0" y="0"/>
                            <a:ext cx="1652535" cy="2160000"/>
                          </a:xfrm>
                          <a:prstGeom prst="rect">
                            <a:avLst/>
                          </a:prstGeom>
                          <a:noFill/>
                          <a:ln>
                            <a:noFill/>
                          </a:ln>
                        </pic:spPr>
                      </pic:pic>
                    </a:graphicData>
                  </a:graphic>
                </wp:inline>
              </w:drawing>
            </w:r>
          </w:p>
        </w:tc>
        <w:tc>
          <w:tcPr>
            <w:tcW w:w="1666"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hint="eastAsia" w:eastAsia="黑体" w:cs="Times New Roman"/>
                <w:szCs w:val="24"/>
              </w:rPr>
              <w:drawing>
                <wp:inline distT="0" distB="0" distL="0" distR="0">
                  <wp:extent cx="1518285" cy="1905000"/>
                  <wp:effectExtent l="0" t="0" r="0" b="0"/>
                  <wp:docPr id="32"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true" noChangeArrowheads="true"/>
                          </pic:cNvPicPr>
                        </pic:nvPicPr>
                        <pic:blipFill>
                          <a:blip r:embed="rId383" cstate="print">
                            <a:extLst>
                              <a:ext uri="{28A0092B-C50C-407E-A947-70E740481C1C}">
                                <a14:useLocalDpi xmlns:a14="http://schemas.microsoft.com/office/drawing/2010/main" val="false"/>
                              </a:ext>
                            </a:extLst>
                          </a:blip>
                          <a:srcRect/>
                          <a:stretch>
                            <a:fillRect/>
                          </a:stretch>
                        </pic:blipFill>
                        <pic:spPr>
                          <a:xfrm>
                            <a:off x="0" y="0"/>
                            <a:ext cx="1524569" cy="1913153"/>
                          </a:xfrm>
                          <a:prstGeom prst="rect">
                            <a:avLst/>
                          </a:prstGeom>
                          <a:noFill/>
                          <a:ln>
                            <a:noFill/>
                          </a:ln>
                        </pic:spPr>
                      </pic:pic>
                    </a:graphicData>
                  </a:graphic>
                </wp:inline>
              </w:drawing>
            </w:r>
          </w:p>
        </w:tc>
        <w:tc>
          <w:tcPr>
            <w:tcW w:w="1668"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hint="eastAsia" w:eastAsia="黑体" w:cs="Times New Roman"/>
                <w:szCs w:val="24"/>
              </w:rPr>
              <w:drawing>
                <wp:inline distT="0" distB="0" distL="0" distR="0">
                  <wp:extent cx="1279525" cy="1799590"/>
                  <wp:effectExtent l="0" t="0" r="15875" b="10160"/>
                  <wp:docPr id="3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true" noChangeArrowheads="true"/>
                          </pic:cNvPicPr>
                        </pic:nvPicPr>
                        <pic:blipFill>
                          <a:blip r:embed="rId384">
                            <a:extLst>
                              <a:ext uri="{28A0092B-C50C-407E-A947-70E740481C1C}">
                                <a14:useLocalDpi xmlns:a14="http://schemas.microsoft.com/office/drawing/2010/main" val="false"/>
                              </a:ext>
                            </a:extLst>
                          </a:blip>
                          <a:srcRect/>
                          <a:stretch>
                            <a:fillRect/>
                          </a:stretch>
                        </pic:blipFill>
                        <pic:spPr>
                          <a:xfrm>
                            <a:off x="0" y="0"/>
                            <a:ext cx="1279756"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hint="eastAsia" w:ascii="宋体" w:hAnsi="宋体" w:cs="Times New Roman"/>
                <w:bCs/>
                <w:color w:val="000000"/>
                <w:spacing w:val="-3"/>
                <w:kern w:val="32"/>
                <w:szCs w:val="28"/>
              </w:rPr>
              <w:t>a)</w:t>
            </w:r>
            <w:r>
              <w:rPr>
                <w:rFonts w:ascii="宋体" w:hAnsi="宋体" w:cs="Times New Roman"/>
                <w:bCs/>
                <w:color w:val="000000"/>
                <w:spacing w:val="-3"/>
                <w:kern w:val="32"/>
                <w:szCs w:val="28"/>
              </w:rPr>
              <w:t xml:space="preserve"> </w:t>
            </w:r>
            <w:r>
              <w:rPr>
                <w:rFonts w:hint="eastAsia" w:cs="Times New Roman"/>
                <w:szCs w:val="21"/>
              </w:rPr>
              <w:t>塑性铰位置</w:t>
            </w:r>
          </w:p>
        </w:tc>
        <w:tc>
          <w:tcPr>
            <w:tcW w:w="1666" w:type="pct"/>
            <w:tcBorders>
              <w:top w:val="nil"/>
              <w:left w:val="nil"/>
              <w:bottom w:val="nil"/>
              <w:right w:val="nil"/>
            </w:tcBorders>
            <w:vAlign w:val="center"/>
          </w:tcPr>
          <w:p>
            <w:pPr>
              <w:widowControl/>
              <w:spacing w:line="240" w:lineRule="auto"/>
              <w:ind w:firstLine="0" w:firstLineChars="0"/>
              <w:jc w:val="center"/>
              <w:rPr>
                <w:rFonts w:cs="Times New Roman"/>
                <w:sz w:val="24"/>
              </w:rPr>
            </w:pPr>
            <w:r>
              <w:rPr>
                <w:rFonts w:ascii="宋体" w:hAnsi="宋体" w:cs="Times New Roman"/>
                <w:bCs/>
                <w:color w:val="000000"/>
                <w:spacing w:val="-3"/>
                <w:kern w:val="32"/>
                <w:szCs w:val="28"/>
              </w:rPr>
              <w:t>b</w:t>
            </w:r>
            <w:r>
              <w:rPr>
                <w:rFonts w:hint="eastAsia" w:ascii="宋体" w:hAnsi="宋体" w:cs="Times New Roman"/>
                <w:bCs/>
                <w:color w:val="000000"/>
                <w:spacing w:val="-3"/>
                <w:kern w:val="32"/>
                <w:szCs w:val="28"/>
              </w:rPr>
              <w:t>)</w:t>
            </w:r>
            <w:r>
              <w:rPr>
                <w:rFonts w:ascii="宋体" w:hAnsi="宋体" w:cs="Times New Roman"/>
                <w:bCs/>
                <w:color w:val="000000"/>
                <w:spacing w:val="-3"/>
                <w:kern w:val="32"/>
                <w:szCs w:val="28"/>
              </w:rPr>
              <w:t xml:space="preserve"> </w:t>
            </w:r>
            <w:r>
              <w:rPr>
                <w:rFonts w:hint="eastAsia" w:cs="Times New Roman"/>
                <w:szCs w:val="21"/>
              </w:rPr>
              <w:t>弯矩图（单肢：</w:t>
            </w:r>
            <w:r>
              <w:rPr>
                <w:rFonts w:cs="Times New Roman"/>
                <w:position w:val="-20"/>
                <w:sz w:val="24"/>
              </w:rPr>
              <w:object>
                <v:shape id="_x0000_i1208" o:spt="75" type="#_x0000_t75" style="height:28.8pt;width:21.9pt;" o:ole="t" filled="f" o:preferrelative="t" stroked="f" coordsize="21600,21600">
                  <v:path/>
                  <v:fill on="f" focussize="0,0"/>
                  <v:stroke on="f" joinstyle="miter"/>
                  <v:imagedata r:id="rId386" o:title=""/>
                  <o:lock v:ext="edit" aspectratio="t"/>
                  <w10:wrap type="none"/>
                  <w10:anchorlock/>
                </v:shape>
                <o:OLEObject Type="Embed" ProgID="Equation.DSMT4" ShapeID="_x0000_i1208" DrawAspect="Content" ObjectID="_1468075908" r:id="rId385">
                  <o:LockedField>false</o:LockedField>
                </o:OLEObject>
              </w:object>
            </w:r>
            <w:r>
              <w:rPr>
                <w:rFonts w:hint="eastAsia" w:cs="Times New Roman"/>
                <w:sz w:val="24"/>
              </w:rPr>
              <w:t>，</w:t>
            </w:r>
          </w:p>
          <w:p>
            <w:pPr>
              <w:widowControl/>
              <w:spacing w:line="240" w:lineRule="auto"/>
              <w:ind w:firstLine="0" w:firstLineChars="0"/>
              <w:jc w:val="center"/>
              <w:rPr>
                <w:rFonts w:eastAsia="黑体" w:cs="Times New Roman"/>
                <w:szCs w:val="24"/>
              </w:rPr>
            </w:pPr>
            <w:r>
              <w:rPr>
                <w:rFonts w:hint="eastAsia" w:cs="Times New Roman"/>
                <w:szCs w:val="21"/>
              </w:rPr>
              <w:t>缀板：</w:t>
            </w:r>
            <w:r>
              <w:rPr>
                <w:rFonts w:cs="Times New Roman"/>
                <w:position w:val="-20"/>
                <w:sz w:val="24"/>
              </w:rPr>
              <w:object>
                <v:shape id="_x0000_i1209" o:spt="75" type="#_x0000_t75" style="height:28.8pt;width:21.9pt;" o:ole="t" filled="f" o:preferrelative="t" stroked="f" coordsize="21600,21600">
                  <v:path/>
                  <v:fill on="f" focussize="0,0"/>
                  <v:stroke on="f" joinstyle="miter"/>
                  <v:imagedata r:id="rId388" o:title=""/>
                  <o:lock v:ext="edit" aspectratio="t"/>
                  <w10:wrap type="none"/>
                  <w10:anchorlock/>
                </v:shape>
                <o:OLEObject Type="Embed" ProgID="Equation.DSMT4" ShapeID="_x0000_i1209" DrawAspect="Content" ObjectID="_1468075909" r:id="rId387">
                  <o:LockedField>false</o:LockedField>
                </o:OLEObject>
              </w:object>
            </w:r>
            <w:r>
              <w:rPr>
                <w:rFonts w:hint="eastAsia" w:cs="Times New Roman"/>
                <w:szCs w:val="21"/>
              </w:rPr>
              <w:t>）</w:t>
            </w:r>
          </w:p>
        </w:tc>
        <w:tc>
          <w:tcPr>
            <w:tcW w:w="1668"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ascii="宋体" w:hAnsi="宋体" w:cs="Times New Roman"/>
                <w:bCs/>
                <w:color w:val="000000"/>
                <w:spacing w:val="-3"/>
                <w:kern w:val="32"/>
                <w:szCs w:val="28"/>
              </w:rPr>
              <w:t>c</w:t>
            </w:r>
            <w:r>
              <w:rPr>
                <w:rFonts w:hint="eastAsia" w:ascii="宋体" w:hAnsi="宋体" w:cs="Times New Roman"/>
                <w:bCs/>
                <w:color w:val="000000"/>
                <w:spacing w:val="-3"/>
                <w:kern w:val="32"/>
                <w:szCs w:val="28"/>
              </w:rPr>
              <w:t>)</w:t>
            </w:r>
            <w:r>
              <w:rPr>
                <w:rFonts w:ascii="宋体" w:hAnsi="宋体" w:cs="Times New Roman"/>
                <w:bCs/>
                <w:color w:val="000000"/>
                <w:spacing w:val="-3"/>
                <w:kern w:val="32"/>
                <w:szCs w:val="28"/>
              </w:rPr>
              <w:t xml:space="preserve"> </w:t>
            </w:r>
            <w:r>
              <w:rPr>
                <w:rFonts w:hint="eastAsia" w:cs="Times New Roman"/>
                <w:szCs w:val="21"/>
              </w:rPr>
              <w:t>剪力图（</w:t>
            </w:r>
            <w:r>
              <w:rPr>
                <w:rFonts w:cs="Times New Roman"/>
                <w:position w:val="-20"/>
                <w:sz w:val="24"/>
              </w:rPr>
              <w:object>
                <v:shape id="_x0000_i1210" o:spt="75" type="#_x0000_t75" style="height:28.8pt;width:14.4pt;" o:ole="t" filled="f" o:preferrelative="t" stroked="f" coordsize="21600,21600">
                  <v:path/>
                  <v:fill on="f" focussize="0,0"/>
                  <v:stroke on="f" joinstyle="miter"/>
                  <v:imagedata r:id="rId390" o:title=""/>
                  <o:lock v:ext="edit" aspectratio="t"/>
                  <w10:wrap type="none"/>
                  <w10:anchorlock/>
                </v:shape>
                <o:OLEObject Type="Embed" ProgID="Equation.DSMT4" ShapeID="_x0000_i1210" DrawAspect="Content" ObjectID="_1468075910" r:id="rId389">
                  <o:LockedField>false</o:LockedField>
                </o:OLEObject>
              </w:object>
            </w: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nil"/>
              <w:left w:val="nil"/>
              <w:bottom w:val="nil"/>
              <w:right w:val="nil"/>
            </w:tcBorders>
          </w:tcPr>
          <w:p>
            <w:pPr>
              <w:spacing w:line="400" w:lineRule="exact"/>
              <w:ind w:firstLine="0" w:firstLineChars="0"/>
              <w:jc w:val="center"/>
              <w:rPr>
                <w:rFonts w:ascii="黑体" w:hAnsi="黑体" w:eastAsia="黑体" w:cs="Times New Roman"/>
              </w:rPr>
            </w:pPr>
            <w:r>
              <w:rPr>
                <w:rFonts w:hint="eastAsia" w:ascii="黑体" w:hAnsi="黑体" w:eastAsia="黑体" w:cs="Times New Roman"/>
              </w:rPr>
              <w:t>图8</w:t>
            </w:r>
            <w:r>
              <w:rPr>
                <w:rFonts w:hint="eastAsia" w:ascii="黑体" w:hAnsi="黑体" w:eastAsia="黑体" w:cs="黑体"/>
              </w:rPr>
              <w:t>　</w:t>
            </w:r>
            <w:r>
              <w:rPr>
                <w:rFonts w:hint="eastAsia" w:ascii="黑体" w:hAnsi="黑体" w:eastAsia="黑体" w:cs="Times New Roman"/>
                <w:szCs w:val="20"/>
              </w:rPr>
              <w:t>双肢缀板柱塑性铰位置及内力分布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nil"/>
              <w:left w:val="nil"/>
              <w:bottom w:val="nil"/>
              <w:right w:val="nil"/>
            </w:tcBorders>
          </w:tcPr>
          <w:p>
            <w:pPr>
              <w:widowControl/>
              <w:spacing w:line="240" w:lineRule="auto"/>
              <w:ind w:firstLine="0" w:firstLineChars="0"/>
              <w:jc w:val="center"/>
              <w:rPr>
                <w:rFonts w:eastAsia="黑体" w:cs="Times New Roman"/>
                <w:szCs w:val="24"/>
              </w:rPr>
            </w:pPr>
            <w:r>
              <w:rPr>
                <w:rFonts w:eastAsia="黑体" w:cs="Times New Roman"/>
                <w:szCs w:val="24"/>
              </w:rPr>
              <w:drawing>
                <wp:inline distT="0" distB="0" distL="0" distR="0">
                  <wp:extent cx="1393825" cy="2465070"/>
                  <wp:effectExtent l="0" t="0" r="15875" b="0"/>
                  <wp:docPr id="3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true" noChangeArrowheads="true"/>
                          </pic:cNvPicPr>
                        </pic:nvPicPr>
                        <pic:blipFill>
                          <a:blip r:embed="rId391">
                            <a:extLst>
                              <a:ext uri="{28A0092B-C50C-407E-A947-70E740481C1C}">
                                <a14:useLocalDpi xmlns:a14="http://schemas.microsoft.com/office/drawing/2010/main" val="false"/>
                              </a:ext>
                            </a:extLst>
                          </a:blip>
                          <a:srcRect/>
                          <a:stretch>
                            <a:fillRect/>
                          </a:stretch>
                        </pic:blipFill>
                        <pic:spPr>
                          <a:xfrm>
                            <a:off x="0" y="0"/>
                            <a:ext cx="1398301" cy="2472164"/>
                          </a:xfrm>
                          <a:prstGeom prst="rect">
                            <a:avLst/>
                          </a:prstGeom>
                          <a:noFill/>
                          <a:ln>
                            <a:noFill/>
                          </a:ln>
                        </pic:spPr>
                      </pic:pic>
                    </a:graphicData>
                  </a:graphic>
                </wp:inline>
              </w:drawing>
            </w:r>
          </w:p>
        </w:tc>
        <w:tc>
          <w:tcPr>
            <w:tcW w:w="1666"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hint="eastAsia" w:eastAsia="黑体" w:cs="Times New Roman"/>
                <w:szCs w:val="24"/>
              </w:rPr>
              <w:drawing>
                <wp:inline distT="0" distB="0" distL="0" distR="0">
                  <wp:extent cx="1043305" cy="1934210"/>
                  <wp:effectExtent l="0" t="0" r="0" b="0"/>
                  <wp:docPr id="35"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true" noChangeArrowheads="true"/>
                          </pic:cNvPicPr>
                        </pic:nvPicPr>
                        <pic:blipFill>
                          <a:blip r:embed="rId392">
                            <a:extLst>
                              <a:ext uri="{28A0092B-C50C-407E-A947-70E740481C1C}">
                                <a14:useLocalDpi xmlns:a14="http://schemas.microsoft.com/office/drawing/2010/main" val="false"/>
                              </a:ext>
                            </a:extLst>
                          </a:blip>
                          <a:srcRect/>
                          <a:stretch>
                            <a:fillRect/>
                          </a:stretch>
                        </pic:blipFill>
                        <pic:spPr>
                          <a:xfrm>
                            <a:off x="0" y="0"/>
                            <a:ext cx="1051637" cy="1949035"/>
                          </a:xfrm>
                          <a:prstGeom prst="rect">
                            <a:avLst/>
                          </a:prstGeom>
                          <a:noFill/>
                          <a:ln>
                            <a:noFill/>
                          </a:ln>
                        </pic:spPr>
                      </pic:pic>
                    </a:graphicData>
                  </a:graphic>
                </wp:inline>
              </w:drawing>
            </w:r>
          </w:p>
        </w:tc>
        <w:tc>
          <w:tcPr>
            <w:tcW w:w="1668"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hint="eastAsia" w:eastAsia="黑体" w:cs="Times New Roman"/>
                <w:szCs w:val="24"/>
              </w:rPr>
              <w:drawing>
                <wp:inline distT="0" distB="0" distL="0" distR="0">
                  <wp:extent cx="690880" cy="1799590"/>
                  <wp:effectExtent l="0" t="0" r="14605" b="10160"/>
                  <wp:docPr id="36"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true" noChangeArrowheads="true"/>
                          </pic:cNvPicPr>
                        </pic:nvPicPr>
                        <pic:blipFill>
                          <a:blip r:embed="rId393">
                            <a:extLst>
                              <a:ext uri="{28A0092B-C50C-407E-A947-70E740481C1C}">
                                <a14:useLocalDpi xmlns:a14="http://schemas.microsoft.com/office/drawing/2010/main" val="false"/>
                              </a:ext>
                            </a:extLst>
                          </a:blip>
                          <a:srcRect/>
                          <a:stretch>
                            <a:fillRect/>
                          </a:stretch>
                        </pic:blipFill>
                        <pic:spPr>
                          <a:xfrm>
                            <a:off x="0" y="0"/>
                            <a:ext cx="691228"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hint="eastAsia" w:ascii="宋体" w:hAnsi="宋体" w:cs="Times New Roman"/>
                <w:bCs/>
                <w:color w:val="000000"/>
                <w:spacing w:val="-3"/>
                <w:kern w:val="32"/>
                <w:szCs w:val="28"/>
              </w:rPr>
              <w:t>a)</w:t>
            </w:r>
            <w:r>
              <w:rPr>
                <w:rFonts w:ascii="宋体" w:hAnsi="宋体" w:cs="Times New Roman"/>
                <w:bCs/>
                <w:color w:val="000000"/>
                <w:spacing w:val="-3"/>
                <w:kern w:val="32"/>
                <w:szCs w:val="28"/>
              </w:rPr>
              <w:t xml:space="preserve"> </w:t>
            </w:r>
            <w:r>
              <w:rPr>
                <w:rFonts w:hint="eastAsia" w:cs="Times New Roman"/>
                <w:szCs w:val="21"/>
              </w:rPr>
              <w:t>塑性铰位置</w:t>
            </w:r>
          </w:p>
        </w:tc>
        <w:tc>
          <w:tcPr>
            <w:tcW w:w="1666"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ascii="宋体" w:hAnsi="宋体" w:cs="Times New Roman"/>
                <w:bCs/>
                <w:color w:val="000000"/>
                <w:spacing w:val="-3"/>
                <w:kern w:val="32"/>
                <w:szCs w:val="28"/>
              </w:rPr>
              <w:t>b</w:t>
            </w:r>
            <w:r>
              <w:rPr>
                <w:rFonts w:hint="eastAsia" w:ascii="宋体" w:hAnsi="宋体" w:cs="Times New Roman"/>
                <w:bCs/>
                <w:color w:val="000000"/>
                <w:spacing w:val="-3"/>
                <w:kern w:val="32"/>
                <w:szCs w:val="28"/>
              </w:rPr>
              <w:t>)</w:t>
            </w:r>
            <w:r>
              <w:rPr>
                <w:rFonts w:ascii="宋体" w:hAnsi="宋体" w:cs="Times New Roman"/>
                <w:bCs/>
                <w:color w:val="000000"/>
                <w:spacing w:val="-3"/>
                <w:kern w:val="32"/>
                <w:szCs w:val="28"/>
              </w:rPr>
              <w:t xml:space="preserve"> </w:t>
            </w:r>
            <w:r>
              <w:rPr>
                <w:rFonts w:hint="eastAsia" w:cs="Times New Roman"/>
                <w:szCs w:val="21"/>
              </w:rPr>
              <w:t>弯矩图（</w:t>
            </w:r>
            <w:r>
              <w:rPr>
                <w:rFonts w:cs="Times New Roman"/>
                <w:position w:val="-20"/>
                <w:sz w:val="24"/>
              </w:rPr>
              <w:object>
                <v:shape id="_x0000_i1211" o:spt="75" type="#_x0000_t75" style="height:28.8pt;width:21.9pt;" o:ole="t" filled="f" o:preferrelative="t" stroked="f" coordsize="21600,21600">
                  <v:path/>
                  <v:fill on="f" focussize="0,0"/>
                  <v:stroke on="f" joinstyle="miter"/>
                  <v:imagedata r:id="rId395" o:title=""/>
                  <o:lock v:ext="edit" aspectratio="t"/>
                  <w10:wrap type="none"/>
                  <w10:anchorlock/>
                </v:shape>
                <o:OLEObject Type="Embed" ProgID="Equation.DSMT4" ShapeID="_x0000_i1211" DrawAspect="Content" ObjectID="_1468075911" r:id="rId394">
                  <o:LockedField>false</o:LockedField>
                </o:OLEObject>
              </w:object>
            </w:r>
            <w:r>
              <w:rPr>
                <w:rFonts w:hint="eastAsia" w:cs="Times New Roman"/>
                <w:szCs w:val="21"/>
              </w:rPr>
              <w:t>）</w:t>
            </w:r>
          </w:p>
        </w:tc>
        <w:tc>
          <w:tcPr>
            <w:tcW w:w="1668" w:type="pct"/>
            <w:tcBorders>
              <w:top w:val="nil"/>
              <w:left w:val="nil"/>
              <w:bottom w:val="nil"/>
              <w:right w:val="nil"/>
            </w:tcBorders>
            <w:vAlign w:val="center"/>
          </w:tcPr>
          <w:p>
            <w:pPr>
              <w:widowControl/>
              <w:spacing w:line="240" w:lineRule="auto"/>
              <w:ind w:firstLine="0" w:firstLineChars="0"/>
              <w:jc w:val="center"/>
              <w:rPr>
                <w:rFonts w:eastAsia="黑体" w:cs="Times New Roman"/>
                <w:szCs w:val="24"/>
              </w:rPr>
            </w:pPr>
            <w:r>
              <w:rPr>
                <w:rFonts w:ascii="宋体" w:hAnsi="宋体" w:cs="Times New Roman"/>
                <w:bCs/>
                <w:color w:val="000000"/>
                <w:spacing w:val="-3"/>
                <w:kern w:val="32"/>
                <w:szCs w:val="28"/>
              </w:rPr>
              <w:t>c</w:t>
            </w:r>
            <w:r>
              <w:rPr>
                <w:rFonts w:hint="eastAsia" w:ascii="宋体" w:hAnsi="宋体" w:cs="Times New Roman"/>
                <w:bCs/>
                <w:color w:val="000000"/>
                <w:spacing w:val="-3"/>
                <w:kern w:val="32"/>
                <w:szCs w:val="28"/>
              </w:rPr>
              <w:t>)</w:t>
            </w:r>
            <w:r>
              <w:rPr>
                <w:rFonts w:ascii="宋体" w:hAnsi="宋体" w:cs="Times New Roman"/>
                <w:bCs/>
                <w:color w:val="000000"/>
                <w:spacing w:val="-3"/>
                <w:kern w:val="32"/>
                <w:szCs w:val="28"/>
              </w:rPr>
              <w:t xml:space="preserve"> </w:t>
            </w:r>
            <w:r>
              <w:rPr>
                <w:rFonts w:hint="eastAsia" w:cs="Times New Roman"/>
                <w:szCs w:val="21"/>
              </w:rPr>
              <w:t>剪力图（</w:t>
            </w:r>
            <w:r>
              <w:rPr>
                <w:rFonts w:cs="Times New Roman"/>
                <w:position w:val="-20"/>
                <w:sz w:val="24"/>
              </w:rPr>
              <w:object>
                <v:shape id="_x0000_i1212" o:spt="75" type="#_x0000_t75" style="height:28.8pt;width:14.4pt;" o:ole="t" filled="f" o:preferrelative="t" stroked="f" coordsize="21600,21600">
                  <v:path/>
                  <v:fill on="f" focussize="0,0"/>
                  <v:stroke on="f" joinstyle="miter"/>
                  <v:imagedata r:id="rId390" o:title=""/>
                  <o:lock v:ext="edit" aspectratio="t"/>
                  <w10:wrap type="none"/>
                  <w10:anchorlock/>
                </v:shape>
                <o:OLEObject Type="Embed" ProgID="Equation.DSMT4" ShapeID="_x0000_i1212" DrawAspect="Content" ObjectID="_1468075912" r:id="rId396">
                  <o:LockedField>false</o:LockedField>
                </o:OLEObject>
              </w:object>
            </w:r>
            <w:r>
              <w:rPr>
                <w:rFonts w:hint="eastAsia"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nil"/>
              <w:left w:val="nil"/>
              <w:bottom w:val="nil"/>
              <w:right w:val="nil"/>
            </w:tcBorders>
          </w:tcPr>
          <w:p>
            <w:pPr>
              <w:spacing w:line="400" w:lineRule="exact"/>
              <w:ind w:firstLine="0" w:firstLineChars="0"/>
              <w:jc w:val="center"/>
              <w:rPr>
                <w:rFonts w:ascii="黑体" w:hAnsi="黑体" w:eastAsia="黑体" w:cs="Times New Roman"/>
              </w:rPr>
            </w:pPr>
            <w:r>
              <w:rPr>
                <w:rFonts w:hint="eastAsia" w:ascii="黑体" w:hAnsi="黑体" w:eastAsia="黑体" w:cs="Times New Roman"/>
              </w:rPr>
              <w:t>图9</w:t>
            </w:r>
            <w:r>
              <w:rPr>
                <w:rFonts w:hint="eastAsia" w:ascii="黑体" w:hAnsi="黑体" w:eastAsia="黑体" w:cs="黑体"/>
              </w:rPr>
              <w:t>　</w:t>
            </w:r>
            <w:r>
              <w:rPr>
                <w:rFonts w:hint="eastAsia" w:ascii="黑体" w:hAnsi="黑体" w:eastAsia="黑体" w:cs="Times New Roman"/>
                <w:szCs w:val="20"/>
              </w:rPr>
              <w:t>单肢柱塑性铰位置及内力分布</w:t>
            </w:r>
          </w:p>
        </w:tc>
      </w:tr>
    </w:tbl>
    <w:p>
      <w:pPr>
        <w:pStyle w:val="63"/>
        <w:ind w:firstLine="420"/>
      </w:pPr>
      <w:r>
        <w:rPr>
          <w:rFonts w:hint="eastAsia"/>
        </w:rPr>
        <w:t>节点达到极限状态时，钢框架的四角或者缀板形成塑性铰，根据塑性极限分析，可推得每个铰的极限弯矩，按公式</w:t>
      </w:r>
      <w:r>
        <w:rPr>
          <w:rFonts w:hint="eastAsia"/>
          <w:lang w:val="zh-CN"/>
        </w:rPr>
        <w:t>（</w:t>
      </w:r>
      <w:r>
        <w:rPr>
          <w:rFonts w:hAnsi="宋体"/>
          <w:bCs/>
          <w:spacing w:val="-1"/>
          <w:szCs w:val="21"/>
        </w:rPr>
        <w:t>8</w:t>
      </w:r>
      <w:r>
        <w:rPr>
          <w:rFonts w:hint="eastAsia"/>
          <w:lang w:val="zh-CN"/>
        </w:rPr>
        <w:t>）-（</w:t>
      </w:r>
      <w:r>
        <w:rPr>
          <w:rFonts w:hAnsi="宋体"/>
          <w:bCs/>
          <w:spacing w:val="-1"/>
          <w:szCs w:val="21"/>
        </w:rPr>
        <w:t>11</w:t>
      </w:r>
      <w:r>
        <w:rPr>
          <w:rFonts w:hint="eastAsia"/>
          <w:lang w:val="zh-CN"/>
        </w:rPr>
        <w:t>）计算</w:t>
      </w:r>
      <w:r>
        <w:rPr>
          <w:rFonts w:hint="eastAsia"/>
        </w:rPr>
        <w:t>：</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12"/>
                <w:sz w:val="20"/>
                <w:szCs w:val="20"/>
              </w:rPr>
              <w:object>
                <v:shape id="_x0000_i1213" o:spt="75" type="#_x0000_t75" style="height:14.4pt;width:43.85pt;" o:ole="t" filled="f" o:preferrelative="t" stroked="f" coordsize="21600,21600">
                  <v:path/>
                  <v:fill on="f" focussize="0,0"/>
                  <v:stroke on="f" joinstyle="miter"/>
                  <v:imagedata r:id="rId398" o:title=""/>
                  <o:lock v:ext="edit" aspectratio="t"/>
                  <w10:wrap type="none"/>
                  <w10:anchorlock/>
                </v:shape>
                <o:OLEObject Type="Embed" ProgID="Equation.DSMT4" ShapeID="_x0000_i1213" DrawAspect="Content" ObjectID="_1468075913" r:id="rId397">
                  <o:LockedField>false</o:LockedField>
                </o:OLEObject>
              </w:objec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8</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20"/>
                <w:sz w:val="20"/>
                <w:szCs w:val="20"/>
              </w:rPr>
              <w:object>
                <v:shape id="_x0000_i1214" o:spt="75" type="#_x0000_t75" style="height:36.3pt;width:93.9pt;" o:ole="t" filled="f" o:preferrelative="t" stroked="f" coordsize="21600,21600">
                  <v:path/>
                  <v:fill on="f" focussize="0,0"/>
                  <v:stroke on="f" joinstyle="miter"/>
                  <v:imagedata r:id="rId400" o:title=""/>
                  <o:lock v:ext="edit" aspectratio="t"/>
                  <w10:wrap type="none"/>
                  <w10:anchorlock/>
                </v:shape>
                <o:OLEObject Type="Embed" ProgID="Equation.DSMT4" ShapeID="_x0000_i1214" DrawAspect="Content" ObjectID="_1468075914" r:id="rId399">
                  <o:LockedField>false</o:LockedField>
                </o:OLEObject>
              </w:objec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9</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26"/>
                <w:sz w:val="20"/>
                <w:szCs w:val="20"/>
              </w:rPr>
              <w:object>
                <v:shape id="_x0000_i1215" o:spt="75" type="#_x0000_t75" style="height:28.8pt;width:194.1pt;" o:ole="t" filled="f" o:preferrelative="t" stroked="f" coordsize="21600,21600">
                  <v:path/>
                  <v:fill on="f" focussize="0,0"/>
                  <v:stroke on="f" joinstyle="miter"/>
                  <v:imagedata r:id="rId402" o:title=""/>
                  <o:lock v:ext="edit" aspectratio="t"/>
                  <w10:wrap type="none"/>
                  <w10:anchorlock/>
                </v:shape>
                <o:OLEObject Type="Embed" ProgID="Equation.DSMT4" ShapeID="_x0000_i1215" DrawAspect="Content" ObjectID="_1468075915" r:id="rId401">
                  <o:LockedField>false</o:LockedField>
                </o:OLEObject>
              </w:objec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10</w:t>
            </w:r>
            <w:r>
              <w:rPr>
                <w:rFonts w:hint="eastAsia" w:cs="Times New Roman"/>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ind w:firstLine="0" w:firstLineChars="0"/>
              <w:jc w:val="center"/>
              <w:rPr>
                <w:rFonts w:cs="Times New Roman"/>
                <w:kern w:val="0"/>
                <w:sz w:val="20"/>
                <w:szCs w:val="20"/>
              </w:rPr>
            </w:pPr>
            <w:r>
              <w:rPr>
                <w:rFonts w:cs="Times New Roman"/>
                <w:kern w:val="0"/>
                <w:sz w:val="20"/>
                <w:szCs w:val="20"/>
              </w:rPr>
              <w:t xml:space="preserve">                                        </w:t>
            </w:r>
            <w:r>
              <w:rPr>
                <w:rFonts w:cs="Times New Roman"/>
                <w:kern w:val="0"/>
                <w:position w:val="-30"/>
                <w:sz w:val="20"/>
                <w:szCs w:val="20"/>
              </w:rPr>
              <w:object>
                <v:shape id="_x0000_i1216" o:spt="75" type="#_x0000_t75" style="height:43.85pt;width:86.4pt;" o:ole="t" filled="f" o:preferrelative="t" stroked="f" coordsize="21600,21600">
                  <v:path/>
                  <v:fill on="f" focussize="0,0"/>
                  <v:stroke on="f" joinstyle="miter"/>
                  <v:imagedata r:id="rId404" o:title=""/>
                  <o:lock v:ext="edit" aspectratio="t"/>
                  <w10:wrap type="none"/>
                  <w10:anchorlock/>
                </v:shape>
                <o:OLEObject Type="Embed" ProgID="Equation.DSMT4" ShapeID="_x0000_i1216" DrawAspect="Content" ObjectID="_1468075916" r:id="rId403">
                  <o:LockedField>false</o:LockedField>
                </o:OLEObject>
              </w:objec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11</w:t>
            </w:r>
            <w:r>
              <w:rPr>
                <w:rFonts w:hint="eastAsia" w:cs="Times New Roman"/>
                <w:kern w:val="0"/>
                <w:sz w:val="20"/>
                <w:szCs w:val="20"/>
              </w:rPr>
              <w:t>)</w:t>
            </w:r>
          </w:p>
        </w:tc>
      </w:tr>
    </w:tbl>
    <w:p>
      <w:pPr>
        <w:spacing w:line="240" w:lineRule="auto"/>
        <w:ind w:firstLine="420"/>
        <w:rPr>
          <w:rFonts w:cs="Times New Roman"/>
          <w:color w:val="5B9BD5" w:themeColor="accent1"/>
          <w14:textFill>
            <w14:solidFill>
              <w14:schemeClr w14:val="accent1"/>
            </w14:solidFill>
          </w14:textFill>
        </w:rPr>
      </w:pPr>
      <w:r>
        <w:rPr>
          <w:rFonts w:cs="Times New Roman"/>
        </w:rPr>
        <w:t>式中：</w:t>
      </w:r>
      <w:r>
        <w:rPr>
          <w:rFonts w:cs="Times New Roman"/>
          <w:i/>
          <w:iCs/>
        </w:rPr>
        <w:t>W</w:t>
      </w:r>
      <w:r>
        <w:rPr>
          <w:rFonts w:cs="Times New Roman"/>
          <w:vertAlign w:val="subscript"/>
        </w:rPr>
        <w:t>x1</w:t>
      </w:r>
      <w:r>
        <w:rPr>
          <w:rFonts w:cs="Times New Roman"/>
        </w:rPr>
        <w:t>表示缀板的截面模量；</w:t>
      </w:r>
      <w:r>
        <w:rPr>
          <w:rFonts w:cs="Times New Roman"/>
          <w:i/>
          <w:iCs/>
        </w:rPr>
        <w:t>W</w:t>
      </w:r>
      <w:r>
        <w:rPr>
          <w:rFonts w:cs="Times New Roman"/>
          <w:vertAlign w:val="subscript"/>
        </w:rPr>
        <w:t>x2</w:t>
      </w:r>
      <w:r>
        <w:rPr>
          <w:rFonts w:cs="Times New Roman"/>
        </w:rPr>
        <w:t>表示角钢的截面模量；</w:t>
      </w:r>
      <w:r>
        <w:rPr>
          <w:rFonts w:cs="Times New Roman"/>
          <w:i/>
          <w:iCs/>
        </w:rPr>
        <w:t>f</w:t>
      </w:r>
      <w:r>
        <w:rPr>
          <w:rFonts w:cs="Times New Roman"/>
          <w:vertAlign w:val="subscript"/>
        </w:rPr>
        <w:t>y</w:t>
      </w:r>
      <w:r>
        <w:rPr>
          <w:rFonts w:cs="Times New Roman"/>
        </w:rPr>
        <w:t>表示钢材的屈服强度。</w:t>
      </w:r>
    </w:p>
    <w:p>
      <w:pPr>
        <w:pStyle w:val="109"/>
        <w:numPr>
          <w:ilvl w:val="0"/>
          <w:numId w:val="0"/>
        </w:numPr>
        <w:spacing w:before="0" w:beforeLines="0" w:after="0" w:afterLines="0"/>
        <w:textAlignment w:val="center"/>
        <w:outlineLvl w:val="2"/>
        <w:rPr>
          <w:rFonts w:ascii="宋体" w:hAnsi="宋体" w:eastAsia="宋体"/>
          <w:color w:val="000000"/>
        </w:rPr>
      </w:pPr>
      <w:bookmarkStart w:id="408" w:name="_Toc185523623"/>
      <w:bookmarkStart w:id="409" w:name="_Toc186641591"/>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4.3</w:t>
      </w:r>
      <w:r>
        <w:rPr>
          <w:rFonts w:hint="eastAsia" w:ascii="Times New Roman" w:eastAsia="宋体"/>
          <w:color w:val="000000"/>
        </w:rPr>
        <w:t>　</w:t>
      </w:r>
      <w:r>
        <w:rPr>
          <w:rFonts w:ascii="Times New Roman" w:eastAsia="宋体"/>
          <w:color w:val="000000"/>
        </w:rPr>
        <w:t>为了验证钢管开孔CFST-RB梁柱节点抗剪承载力计算公式的准确性，建立了32个有限元模型，并将有限元分析结果及试验结果与通过计算得到的抗剪承载力进行对比。首先计算试验时节点的抗剪承载力，节点的受力情况如图</w:t>
      </w:r>
      <w:r>
        <w:rPr>
          <w:rFonts w:hint="eastAsia" w:ascii="Times New Roman" w:eastAsia="宋体"/>
          <w:color w:val="000000"/>
        </w:rPr>
        <w:t>1</w:t>
      </w:r>
      <w:r>
        <w:rPr>
          <w:rFonts w:ascii="Times New Roman" w:eastAsia="宋体"/>
          <w:color w:val="000000"/>
        </w:rPr>
        <w:t>0所示，由此可按公式（</w:t>
      </w:r>
      <w:r>
        <w:rPr>
          <w:rFonts w:hint="eastAsia" w:ascii="Times New Roman" w:eastAsia="宋体"/>
          <w:color w:val="000000"/>
        </w:rPr>
        <w:t>1</w:t>
      </w:r>
      <w:r>
        <w:rPr>
          <w:rFonts w:ascii="Times New Roman" w:eastAsia="宋体"/>
          <w:color w:val="000000"/>
        </w:rPr>
        <w:t>2）得出试验试件节点域的剪力：</w:t>
      </w:r>
      <w:bookmarkEnd w:id="408"/>
      <w:bookmarkEnd w:id="409"/>
    </w:p>
    <w:p>
      <w:pPr>
        <w:pStyle w:val="63"/>
        <w:ind w:firstLine="0" w:firstLineChars="0"/>
        <w:jc w:val="center"/>
      </w:pPr>
      <w:r>
        <w:rPr>
          <w:sz w:val="24"/>
        </w:rPr>
        <w:t xml:space="preserve">                               </w:t>
      </w:r>
      <w:r>
        <w:rPr>
          <w:position w:val="-24"/>
          <w:sz w:val="24"/>
        </w:rPr>
        <w:object>
          <v:shape id="_x0000_i1217" o:spt="75" type="#_x0000_t75" style="height:35.7pt;width:100.15pt;" o:ole="t" filled="f" o:preferrelative="t" stroked="f" coordsize="21600,21600">
            <v:path/>
            <v:fill on="f" focussize="0,0"/>
            <v:stroke on="f" joinstyle="miter"/>
            <v:imagedata r:id="rId406" o:title=""/>
            <o:lock v:ext="edit" aspectratio="t"/>
            <w10:wrap type="none"/>
            <w10:anchorlock/>
          </v:shape>
          <o:OLEObject Type="Embed" ProgID="Equation.DSMT4" ShapeID="_x0000_i1217" DrawAspect="Content" ObjectID="_1468075917" r:id="rId405">
            <o:LockedField>false</o:LockedField>
          </o:OLEObject>
        </w:object>
      </w:r>
      <w:r>
        <w:rPr>
          <w:sz w:val="24"/>
        </w:rPr>
        <w:t xml:space="preserve">                        </w:t>
      </w:r>
      <w:r>
        <w:rPr>
          <w:rFonts w:hint="eastAsia"/>
        </w:rPr>
        <w:t>(</w:t>
      </w:r>
      <w:r>
        <w:t>12</w:t>
      </w:r>
      <w:r>
        <w:rPr>
          <w:rFonts w:hint="eastAsia"/>
        </w:rPr>
        <w:t>)</w:t>
      </w:r>
    </w:p>
    <w:p>
      <w:pPr>
        <w:pStyle w:val="63"/>
        <w:ind w:firstLine="0" w:firstLineChars="0"/>
        <w:jc w:val="center"/>
      </w:pPr>
      <w:r>
        <w:rPr>
          <w:rFonts w:eastAsia="黑体"/>
          <w:sz w:val="24"/>
          <w:szCs w:val="24"/>
        </w:rPr>
        <w:drawing>
          <wp:inline distT="0" distB="0" distL="0" distR="0">
            <wp:extent cx="3585845" cy="3161665"/>
            <wp:effectExtent l="0" t="0" r="0" b="0"/>
            <wp:docPr id="3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true" noChangeArrowheads="true"/>
                    </pic:cNvPicPr>
                  </pic:nvPicPr>
                  <pic:blipFill>
                    <a:blip r:embed="rId407">
                      <a:extLst>
                        <a:ext uri="{28A0092B-C50C-407E-A947-70E740481C1C}">
                          <a14:useLocalDpi xmlns:a14="http://schemas.microsoft.com/office/drawing/2010/main" val="false"/>
                        </a:ext>
                      </a:extLst>
                    </a:blip>
                    <a:srcRect/>
                    <a:stretch>
                      <a:fillRect/>
                    </a:stretch>
                  </pic:blipFill>
                  <pic:spPr>
                    <a:xfrm>
                      <a:off x="0" y="0"/>
                      <a:ext cx="3594990" cy="3169313"/>
                    </a:xfrm>
                    <a:prstGeom prst="rect">
                      <a:avLst/>
                    </a:prstGeom>
                    <a:noFill/>
                    <a:ln>
                      <a:noFill/>
                    </a:ln>
                  </pic:spPr>
                </pic:pic>
              </a:graphicData>
            </a:graphic>
          </wp:inline>
        </w:drawing>
      </w:r>
    </w:p>
    <w:p>
      <w:pPr>
        <w:pStyle w:val="63"/>
        <w:spacing w:line="400" w:lineRule="exact"/>
        <w:ind w:firstLine="0" w:firstLineChars="0"/>
        <w:jc w:val="center"/>
        <w:rPr>
          <w:rFonts w:ascii="黑体" w:hAnsi="黑体" w:eastAsia="黑体"/>
        </w:rPr>
      </w:pPr>
      <w:r>
        <w:rPr>
          <w:rFonts w:hint="eastAsia" w:ascii="黑体" w:hAnsi="黑体" w:eastAsia="黑体"/>
        </w:rPr>
        <w:t>图10</w:t>
      </w:r>
      <w:r>
        <w:rPr>
          <w:rFonts w:hint="eastAsia" w:ascii="黑体" w:hAnsi="黑体" w:eastAsia="黑体" w:cs="黑体"/>
        </w:rPr>
        <w:t>　</w:t>
      </w:r>
      <w:r>
        <w:rPr>
          <w:rFonts w:hint="eastAsia" w:ascii="黑体" w:hAnsi="黑体" w:eastAsia="黑体"/>
        </w:rPr>
        <w:t>试验试件节点剪力计算示意图</w:t>
      </w:r>
    </w:p>
    <w:p>
      <w:pPr>
        <w:spacing w:line="240" w:lineRule="auto"/>
        <w:ind w:firstLine="420"/>
        <w:rPr>
          <w:rFonts w:cs="Times New Roman"/>
          <w:color w:val="5B9BD5" w:themeColor="accent1"/>
          <w14:textFill>
            <w14:solidFill>
              <w14:schemeClr w14:val="accent1"/>
            </w14:solidFill>
          </w14:textFill>
        </w:rPr>
      </w:pPr>
      <w:r>
        <w:rPr>
          <w:rFonts w:cs="Times New Roman"/>
        </w:rPr>
        <w:t>将材性试验实测的钢板和混凝土的强度值代入计算公式，计算钢管开孔CFST-RB梁柱节点抗剪承载力。将通过有限元计算得到节点剪切模型算例的抗剪承载力</w:t>
      </w:r>
      <w:r>
        <w:rPr>
          <w:rFonts w:cs="Times New Roman"/>
          <w:i/>
          <w:iCs/>
        </w:rPr>
        <w:t>V</w:t>
      </w:r>
      <w:r>
        <w:rPr>
          <w:rFonts w:cs="Times New Roman"/>
          <w:vertAlign w:val="subscript"/>
        </w:rPr>
        <w:t>j，FE</w:t>
      </w:r>
      <w:r>
        <w:rPr>
          <w:rFonts w:cs="Times New Roman"/>
        </w:rPr>
        <w:t>，与公式计算得到抗剪承载力</w:t>
      </w:r>
      <w:r>
        <w:rPr>
          <w:rFonts w:cs="Times New Roman"/>
          <w:i/>
          <w:iCs/>
        </w:rPr>
        <w:t>V</w:t>
      </w:r>
      <w:r>
        <w:rPr>
          <w:rFonts w:cs="Times New Roman"/>
          <w:vertAlign w:val="subscript"/>
        </w:rPr>
        <w:t>j，CAL</w:t>
      </w:r>
      <w:r>
        <w:rPr>
          <w:rFonts w:cs="Times New Roman"/>
        </w:rPr>
        <w:t>进行比较，比较结果如图</w:t>
      </w:r>
      <w:r>
        <w:rPr>
          <w:rFonts w:hint="eastAsia" w:cs="Times New Roman"/>
        </w:rPr>
        <w:t>1</w:t>
      </w:r>
      <w:r>
        <w:rPr>
          <w:rFonts w:cs="Times New Roman"/>
        </w:rPr>
        <w:t>1所示。公式计算承载力与有限元值的平均比值（</w:t>
      </w:r>
      <w:r>
        <w:rPr>
          <w:rFonts w:cs="Times New Roman"/>
          <w:i/>
          <w:iCs/>
        </w:rPr>
        <w:t>V</w:t>
      </w:r>
      <w:r>
        <w:rPr>
          <w:rFonts w:cs="Times New Roman"/>
          <w:vertAlign w:val="subscript"/>
        </w:rPr>
        <w:t>j，CAL</w:t>
      </w:r>
      <w:r>
        <w:rPr>
          <w:rFonts w:cs="Times New Roman"/>
        </w:rPr>
        <w:t>/</w:t>
      </w:r>
      <w:r>
        <w:rPr>
          <w:rFonts w:cs="Times New Roman"/>
          <w:i/>
          <w:iCs/>
        </w:rPr>
        <w:t>V</w:t>
      </w:r>
      <w:r>
        <w:rPr>
          <w:rFonts w:cs="Times New Roman"/>
          <w:vertAlign w:val="subscript"/>
        </w:rPr>
        <w:t>j，FE</w:t>
      </w:r>
      <w:r>
        <w:rPr>
          <w:rFonts w:cs="Times New Roman"/>
        </w:rPr>
        <w:t>）为0.98，标准差为0.03，可见公式计算值相比有限元结果略偏于保守，其准确性可以满足设计需要。公式计算承载力与试验值的平均比值（</w:t>
      </w:r>
      <w:r>
        <w:rPr>
          <w:rFonts w:cs="Times New Roman"/>
          <w:i/>
          <w:iCs/>
        </w:rPr>
        <w:t>V</w:t>
      </w:r>
      <w:r>
        <w:rPr>
          <w:rFonts w:cs="Times New Roman"/>
          <w:vertAlign w:val="subscript"/>
        </w:rPr>
        <w:t>j，CAL</w:t>
      </w:r>
      <w:r>
        <w:rPr>
          <w:rFonts w:cs="Times New Roman"/>
        </w:rPr>
        <w:t>/</w:t>
      </w:r>
      <w:r>
        <w:rPr>
          <w:rFonts w:cs="Times New Roman"/>
          <w:i/>
          <w:iCs/>
        </w:rPr>
        <w:t>V</w:t>
      </w:r>
      <w:r>
        <w:rPr>
          <w:rFonts w:cs="Times New Roman"/>
          <w:vertAlign w:val="subscript"/>
        </w:rPr>
        <w:t>j，TEST</w:t>
      </w:r>
      <w:r>
        <w:rPr>
          <w:rFonts w:cs="Times New Roman"/>
        </w:rPr>
        <w:t>）为1.08，标准差为0.07，可见计算值相比于试验值较大，这是因为试验试件的最终破坏模式为混凝土梁先于节点破坏，未充分发挥节点核心区开孔钢管的抗剪承载力，导致试验值偏小。</w:t>
      </w:r>
    </w:p>
    <w:tbl>
      <w:tblPr>
        <w:tblStyle w:val="9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vAlign w:val="center"/>
          </w:tcPr>
          <w:p>
            <w:pPr>
              <w:widowControl/>
              <w:adjustRightInd/>
              <w:snapToGrid/>
              <w:spacing w:line="240" w:lineRule="auto"/>
              <w:ind w:firstLine="0" w:firstLineChars="0"/>
              <w:jc w:val="center"/>
              <w:rPr>
                <w:rFonts w:eastAsia="黑体" w:cs="Times New Roman"/>
                <w:sz w:val="24"/>
                <w:szCs w:val="24"/>
              </w:rPr>
            </w:pPr>
            <w:r>
              <w:rPr>
                <w:rFonts w:eastAsia="黑体" w:cs="Times New Roman"/>
                <w:sz w:val="24"/>
                <w:szCs w:val="24"/>
              </w:rPr>
              <w:drawing>
                <wp:inline distT="0" distB="0" distL="0" distR="0">
                  <wp:extent cx="2319655" cy="2159635"/>
                  <wp:effectExtent l="0" t="0" r="0" b="12065"/>
                  <wp:docPr id="3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true" noChangeArrowheads="true"/>
                          </pic:cNvPicPr>
                        </pic:nvPicPr>
                        <pic:blipFill>
                          <a:blip r:embed="rId408">
                            <a:extLst>
                              <a:ext uri="{28A0092B-C50C-407E-A947-70E740481C1C}">
                                <a14:useLocalDpi xmlns:a14="http://schemas.microsoft.com/office/drawing/2010/main" val="false"/>
                              </a:ext>
                            </a:extLst>
                          </a:blip>
                          <a:srcRect/>
                          <a:stretch>
                            <a:fillRect/>
                          </a:stretch>
                        </pic:blipFill>
                        <pic:spPr>
                          <a:xfrm>
                            <a:off x="0" y="0"/>
                            <a:ext cx="2319753" cy="216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spacing w:line="400" w:lineRule="exact"/>
              <w:ind w:firstLine="0" w:firstLineChars="0"/>
              <w:jc w:val="center"/>
              <w:rPr>
                <w:rFonts w:ascii="黑体" w:hAnsi="黑体" w:eastAsia="黑体" w:cs="Times New Roman"/>
                <w:szCs w:val="20"/>
              </w:rPr>
            </w:pPr>
            <w:r>
              <w:rPr>
                <w:rFonts w:hint="eastAsia" w:ascii="黑体" w:hAnsi="黑体" w:eastAsia="黑体" w:cs="Times New Roman"/>
              </w:rPr>
              <w:t>图</w:t>
            </w:r>
            <w:r>
              <w:rPr>
                <w:rFonts w:ascii="黑体" w:hAnsi="黑体" w:eastAsia="黑体" w:cs="Times New Roman"/>
              </w:rPr>
              <w:t>1</w:t>
            </w:r>
            <w:r>
              <w:rPr>
                <w:rFonts w:hint="eastAsia" w:ascii="黑体" w:hAnsi="黑体" w:eastAsia="黑体" w:cs="Times New Roman"/>
              </w:rPr>
              <w:t>1</w:t>
            </w:r>
            <w:r>
              <w:rPr>
                <w:rFonts w:hint="eastAsia" w:ascii="黑体" w:hAnsi="黑体" w:eastAsia="黑体" w:cs="黑体"/>
              </w:rPr>
              <w:t>　</w:t>
            </w:r>
            <w:r>
              <w:rPr>
                <w:rFonts w:hint="eastAsia" w:ascii="黑体" w:hAnsi="黑体" w:eastAsia="黑体" w:cs="Times New Roman"/>
                <w:szCs w:val="20"/>
              </w:rPr>
              <w:t>有限元算例结果与公式计算值对比</w:t>
            </w:r>
          </w:p>
        </w:tc>
      </w:tr>
    </w:tbl>
    <w:p>
      <w:pPr>
        <w:pStyle w:val="109"/>
        <w:numPr>
          <w:ilvl w:val="0"/>
          <w:numId w:val="0"/>
        </w:numPr>
        <w:spacing w:before="0" w:beforeLines="0" w:after="0" w:afterLines="0"/>
        <w:textAlignment w:val="center"/>
        <w:outlineLvl w:val="2"/>
        <w:rPr>
          <w:rFonts w:ascii="宋体" w:hAnsi="宋体" w:eastAsia="宋体"/>
          <w:color w:val="000000"/>
        </w:rPr>
      </w:pPr>
      <w:bookmarkStart w:id="410" w:name="_Toc185523624"/>
      <w:bookmarkStart w:id="411" w:name="_Toc186641592"/>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6</w:t>
      </w:r>
      <w:r>
        <w:rPr>
          <w:rFonts w:hint="eastAsia" w:ascii="Times New Roman" w:eastAsia="宋体"/>
          <w:color w:val="000000"/>
        </w:rPr>
        <w:t>　</w:t>
      </w:r>
      <w:r>
        <w:rPr>
          <w:rFonts w:ascii="Times New Roman" w:eastAsia="宋体"/>
          <w:color w:val="000000"/>
        </w:rPr>
        <w:t>钢管开孔CFST-RB方形柱轴压承载力应符合下列规定：</w:t>
      </w:r>
      <w:bookmarkEnd w:id="410"/>
      <w:bookmarkEnd w:id="411"/>
    </w:p>
    <w:p>
      <w:pPr>
        <w:pStyle w:val="109"/>
        <w:numPr>
          <w:ilvl w:val="0"/>
          <w:numId w:val="0"/>
        </w:numPr>
        <w:spacing w:before="0" w:beforeLines="0" w:after="0" w:afterLines="0"/>
        <w:textAlignment w:val="center"/>
        <w:outlineLvl w:val="2"/>
        <w:rPr>
          <w:rFonts w:ascii="宋体" w:hAnsi="宋体" w:eastAsia="宋体"/>
          <w:color w:val="000000"/>
        </w:rPr>
      </w:pPr>
      <w:bookmarkStart w:id="412" w:name="_Toc185523625"/>
      <w:bookmarkStart w:id="413" w:name="_Toc186641593"/>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6.1</w:t>
      </w:r>
      <w:r>
        <w:rPr>
          <w:rFonts w:hint="eastAsia" w:ascii="Times New Roman" w:eastAsia="宋体"/>
          <w:color w:val="000000"/>
        </w:rPr>
        <w:t>　</w:t>
      </w:r>
      <w:r>
        <w:rPr>
          <w:rFonts w:ascii="Times New Roman" w:eastAsia="宋体"/>
          <w:color w:val="000000"/>
        </w:rPr>
        <w:t>武汉大学和中信建筑设计研究总院有限公司联合对4个钢管开孔CFST-RB方形柱节点开展了轴压试验，根据钢管开孔CFST-RB方形柱轴压试验结果可知，增加节点核心区钢管的壁厚可以适当增加试件的轴压承载力；对于开孔区域钢管不加厚的CFST-RB方形柱，试件的破坏形态为节点区域角钢鼓曲破坏，混凝土短梁产生斜向裂逢，属于节点破坏；对于开孔区域钢管加厚的CFST-RB方形柱，试件节点区域钢管没有出现明显的变形，试件的最终破坏形态为上部或下部柱身钢管鼓曲破坏。将试验结果与现有国内外规范进行比较，比较结果表明：试验屈服荷载与规范计算值比值的平均值为1.09，试验极限承载力与规范计算值比值的平均值为1.24，说明现行国内外规范中的钢管混凝土计算公式对于钢管开孔CFST-RB方形柱的轴压承载力计算结果普遍偏于保守，这是因为规范在计算钢管混凝土承载力时，考虑了折减。此外，采用规范GB50936-2014中的统一理论公式计算的结果与试验结果较为接近，这是因为统一理论考虑了约束效应对钢管混凝土的承载力提高作用。根据试验结果可知，如果柱轴压破坏发生在钢管开孔区域，则必然位于孔口范围内。尽管CFST-RB方形柱中钢管对混凝土的约束作用较小，对内填混凝土的强度提升有限，而且钢管开孔也会削弱对内填混凝土的约束作用，但孔口范围内的柱内填混凝土受到钢筋混凝土梁的约束作用，试验结果表明这种约束效应较为明显，因此在分析CFST-RB方形柱轴压承载力时，仍将开孔区域内的内填混凝土视为受约束状态。开孔区域的钢管从几何形态上可视为4个角钢，钢管开孔CFST-RB方形柱轴压承载力应分别考虑开孔区域钢管和内填混凝土各自的轴压承载力，再将两者相加（图</w:t>
      </w:r>
      <w:r>
        <w:rPr>
          <w:rFonts w:hint="eastAsia" w:ascii="Times New Roman" w:eastAsia="宋体"/>
          <w:color w:val="000000"/>
        </w:rPr>
        <w:t>1</w:t>
      </w:r>
      <w:r>
        <w:rPr>
          <w:rFonts w:ascii="Times New Roman" w:eastAsia="宋体"/>
          <w:color w:val="000000"/>
        </w:rPr>
        <w:t>2）。</w:t>
      </w:r>
      <w:bookmarkEnd w:id="412"/>
      <w:bookmarkEnd w:id="413"/>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vAlign w:val="center"/>
          </w:tcPr>
          <w:p>
            <w:pPr>
              <w:widowControl/>
              <w:spacing w:line="240" w:lineRule="auto"/>
              <w:ind w:firstLine="400"/>
              <w:jc w:val="center"/>
              <w:rPr>
                <w:rFonts w:eastAsia="黑体" w:cs="Times New Roman"/>
                <w:kern w:val="0"/>
                <w:sz w:val="20"/>
                <w:szCs w:val="24"/>
              </w:rPr>
            </w:pPr>
            <w:r>
              <w:rPr>
                <w:rFonts w:eastAsia="黑体" w:cs="Times New Roman"/>
                <w:kern w:val="0"/>
                <w:sz w:val="20"/>
                <w:szCs w:val="24"/>
              </w:rPr>
              <w:drawing>
                <wp:inline distT="0" distB="0" distL="0" distR="0">
                  <wp:extent cx="2861945" cy="1943735"/>
                  <wp:effectExtent l="0" t="0" r="14605" b="18415"/>
                  <wp:docPr id="3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true" noChangeArrowheads="true"/>
                          </pic:cNvPicPr>
                        </pic:nvPicPr>
                        <pic:blipFill>
                          <a:blip r:embed="rId409">
                            <a:extLst>
                              <a:ext uri="{28A0092B-C50C-407E-A947-70E740481C1C}">
                                <a14:useLocalDpi xmlns:a14="http://schemas.microsoft.com/office/drawing/2010/main" val="false"/>
                              </a:ext>
                            </a:extLst>
                          </a:blip>
                          <a:srcRect/>
                          <a:stretch>
                            <a:fillRect/>
                          </a:stretch>
                        </pic:blipFill>
                        <pic:spPr>
                          <a:xfrm>
                            <a:off x="0" y="0"/>
                            <a:ext cx="2874456" cy="195246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pStyle w:val="93"/>
              <w:spacing w:line="400" w:lineRule="exact"/>
              <w:rPr>
                <w:rFonts w:ascii="黑体" w:hAnsi="黑体" w:eastAsia="黑体"/>
                <w:kern w:val="0"/>
              </w:rPr>
            </w:pPr>
            <w:r>
              <w:rPr>
                <w:rFonts w:hint="eastAsia" w:ascii="黑体" w:hAnsi="黑体" w:eastAsia="黑体"/>
                <w:kern w:val="0"/>
              </w:rPr>
              <w:t>图</w:t>
            </w:r>
            <w:r>
              <w:rPr>
                <w:rFonts w:ascii="黑体" w:hAnsi="黑体" w:eastAsia="黑体"/>
                <w:kern w:val="0"/>
              </w:rPr>
              <w:t>1</w:t>
            </w:r>
            <w:r>
              <w:rPr>
                <w:rFonts w:hint="eastAsia" w:ascii="黑体" w:hAnsi="黑体" w:eastAsia="黑体"/>
                <w:kern w:val="0"/>
              </w:rPr>
              <w:t>2</w:t>
            </w:r>
            <w:r>
              <w:rPr>
                <w:rFonts w:hint="eastAsia" w:ascii="黑体" w:hAnsi="黑体" w:eastAsia="黑体" w:cs="黑体"/>
                <w:kern w:val="0"/>
              </w:rPr>
              <w:t>　</w:t>
            </w:r>
            <w:r>
              <w:rPr>
                <w:rFonts w:hint="eastAsia" w:ascii="黑体" w:hAnsi="黑体" w:eastAsia="黑体"/>
                <w:kern w:val="0"/>
              </w:rPr>
              <w:t>开洞区域钢管分析模型</w:t>
            </w:r>
          </w:p>
        </w:tc>
      </w:tr>
    </w:tbl>
    <w:p>
      <w:pPr>
        <w:pStyle w:val="109"/>
        <w:numPr>
          <w:ilvl w:val="0"/>
          <w:numId w:val="0"/>
        </w:numPr>
        <w:spacing w:before="0" w:beforeLines="0" w:after="0" w:afterLines="0"/>
        <w:textAlignment w:val="center"/>
        <w:outlineLvl w:val="2"/>
        <w:rPr>
          <w:rFonts w:ascii="宋体" w:hAnsi="宋体" w:eastAsia="宋体"/>
          <w:color w:val="000000"/>
        </w:rPr>
      </w:pPr>
      <w:bookmarkStart w:id="414" w:name="_Toc186641594"/>
      <w:bookmarkStart w:id="415" w:name="_Toc185523626"/>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6.3</w:t>
      </w:r>
      <w:r>
        <w:rPr>
          <w:rFonts w:hint="eastAsia" w:ascii="Times New Roman" w:eastAsia="宋体"/>
          <w:color w:val="000000"/>
        </w:rPr>
        <w:t>　</w:t>
      </w:r>
      <w:r>
        <w:rPr>
          <w:rFonts w:ascii="Times New Roman" w:eastAsia="宋体"/>
          <w:color w:val="000000"/>
        </w:rPr>
        <w:t>开孔区域单根角钢轴压承载力</w:t>
      </w:r>
      <w:r>
        <w:rPr>
          <w:rFonts w:ascii="Times New Roman" w:eastAsia="宋体"/>
          <w:i/>
          <w:color w:val="000000"/>
        </w:rPr>
        <w:t>N</w:t>
      </w:r>
      <w:r>
        <w:rPr>
          <w:rFonts w:ascii="Times New Roman" w:eastAsia="宋体"/>
          <w:color w:val="000000"/>
          <w:vertAlign w:val="subscript"/>
        </w:rPr>
        <w:t>s</w:t>
      </w:r>
      <w:r>
        <w:rPr>
          <w:rFonts w:ascii="Times New Roman" w:eastAsia="宋体"/>
          <w:color w:val="000000"/>
        </w:rPr>
        <w:t>参考《钢结构设计标准》GB 50017中无侧移框架柱两端支承构件在端弯矩和横向荷载同时作用时的压弯构件承载力计算方法进行计算（图</w:t>
      </w:r>
      <w:r>
        <w:rPr>
          <w:rFonts w:hint="eastAsia" w:ascii="Times New Roman" w:eastAsia="宋体"/>
          <w:color w:val="000000"/>
        </w:rPr>
        <w:t>1</w:t>
      </w:r>
      <w:r>
        <w:rPr>
          <w:rFonts w:ascii="Times New Roman" w:eastAsia="宋体"/>
          <w:color w:val="000000"/>
        </w:rPr>
        <w:t>3）。</w:t>
      </w:r>
      <w:bookmarkEnd w:id="414"/>
      <w:bookmarkEnd w:id="415"/>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vAlign w:val="center"/>
          </w:tcPr>
          <w:p>
            <w:pPr>
              <w:widowControl/>
              <w:spacing w:line="240" w:lineRule="auto"/>
              <w:ind w:firstLine="400"/>
              <w:jc w:val="center"/>
              <w:rPr>
                <w:rFonts w:eastAsia="黑体" w:cs="Times New Roman"/>
                <w:kern w:val="0"/>
                <w:sz w:val="20"/>
                <w:szCs w:val="24"/>
              </w:rPr>
            </w:pPr>
            <w:r>
              <w:rPr>
                <w:rFonts w:eastAsia="黑体" w:cs="Times New Roman"/>
                <w:kern w:val="0"/>
                <w:sz w:val="20"/>
                <w:szCs w:val="24"/>
              </w:rPr>
              <w:drawing>
                <wp:inline distT="0" distB="0" distL="0" distR="0">
                  <wp:extent cx="1797050" cy="2102485"/>
                  <wp:effectExtent l="0" t="0" r="12700" b="12065"/>
                  <wp:docPr id="4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true" noChangeArrowheads="true"/>
                          </pic:cNvPicPr>
                        </pic:nvPicPr>
                        <pic:blipFill>
                          <a:blip r:embed="rId410">
                            <a:extLst>
                              <a:ext uri="{28A0092B-C50C-407E-A947-70E740481C1C}">
                                <a14:useLocalDpi xmlns:a14="http://schemas.microsoft.com/office/drawing/2010/main" val="false"/>
                              </a:ext>
                            </a:extLst>
                          </a:blip>
                          <a:srcRect/>
                          <a:stretch>
                            <a:fillRect/>
                          </a:stretch>
                        </pic:blipFill>
                        <pic:spPr>
                          <a:xfrm>
                            <a:off x="0" y="0"/>
                            <a:ext cx="1798893" cy="210465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pStyle w:val="93"/>
              <w:spacing w:line="400" w:lineRule="exact"/>
              <w:rPr>
                <w:rFonts w:ascii="黑体" w:hAnsi="黑体" w:eastAsia="黑体"/>
                <w:kern w:val="0"/>
              </w:rPr>
            </w:pPr>
            <w:r>
              <w:rPr>
                <w:rFonts w:hint="eastAsia" w:ascii="黑体" w:hAnsi="黑体" w:eastAsia="黑体"/>
                <w:kern w:val="0"/>
              </w:rPr>
              <w:t>图</w:t>
            </w:r>
            <w:r>
              <w:rPr>
                <w:rFonts w:ascii="黑体" w:hAnsi="黑体" w:eastAsia="黑体"/>
                <w:kern w:val="0"/>
              </w:rPr>
              <w:t>1</w:t>
            </w:r>
            <w:r>
              <w:rPr>
                <w:rFonts w:hint="eastAsia" w:ascii="黑体" w:hAnsi="黑体" w:eastAsia="黑体"/>
                <w:kern w:val="0"/>
              </w:rPr>
              <w:t>3</w:t>
            </w:r>
            <w:r>
              <w:rPr>
                <w:rFonts w:hint="eastAsia" w:ascii="黑体" w:hAnsi="黑体" w:eastAsia="黑体" w:cs="黑体"/>
                <w:kern w:val="0"/>
              </w:rPr>
              <w:t>　</w:t>
            </w:r>
            <w:r>
              <w:rPr>
                <w:rFonts w:hint="eastAsia" w:ascii="黑体" w:hAnsi="黑体" w:eastAsia="黑体"/>
                <w:kern w:val="0"/>
              </w:rPr>
              <w:t>开洞区域钢管角部计算简图</w:t>
            </w:r>
          </w:p>
        </w:tc>
      </w:tr>
    </w:tbl>
    <w:p>
      <w:pPr>
        <w:spacing w:line="240" w:lineRule="auto"/>
        <w:ind w:firstLine="420"/>
        <w:rPr>
          <w:rFonts w:cs="Times New Roman"/>
          <w:lang w:val="zh-CN"/>
        </w:rPr>
      </w:pPr>
      <w:r>
        <w:rPr>
          <w:rFonts w:cs="Times New Roman"/>
          <w:lang w:val="zh-CN"/>
        </w:rPr>
        <w:t>开</w:t>
      </w:r>
      <w:r>
        <w:rPr>
          <w:rFonts w:cs="Times New Roman"/>
        </w:rPr>
        <w:t>孔</w:t>
      </w:r>
      <w:r>
        <w:rPr>
          <w:rFonts w:cs="Times New Roman"/>
          <w:lang w:val="zh-CN"/>
        </w:rPr>
        <w:t>区域钢管一般受到轴压力和内填混凝土受压横向膨胀产生的侧压力，因此可将角钢视为压弯构件。计算角钢所承受的弯矩时，可偏安全地将未削弱柱截面中1/4钢管受到的混凝土侧压力作为单个角钢承受的横向力作用。图</w:t>
      </w:r>
      <w:r>
        <w:rPr>
          <w:rFonts w:hint="eastAsia" w:cs="Times New Roman"/>
          <w:lang w:val="zh-CN"/>
        </w:rPr>
        <w:t>1</w:t>
      </w:r>
      <w:r>
        <w:rPr>
          <w:rFonts w:cs="Times New Roman"/>
          <w:lang w:val="zh-CN"/>
        </w:rPr>
        <w:t>4给出了内填混凝土侧向压应力</w:t>
      </w:r>
      <w:r>
        <w:rPr>
          <w:rFonts w:cs="Times New Roman"/>
          <w:i/>
          <w:iCs/>
          <w:lang w:val="zh-CN"/>
        </w:rPr>
        <w:t>p</w:t>
      </w:r>
      <w:r>
        <w:rPr>
          <w:rFonts w:cs="Times New Roman"/>
          <w:lang w:val="zh-CN"/>
        </w:rPr>
        <w:t>与钢管平均横向应力</w:t>
      </w:r>
      <w:r>
        <w:rPr>
          <w:rFonts w:cs="Times New Roman"/>
          <w:i/>
          <w:iCs/>
          <w:lang w:val="zh-CN"/>
        </w:rPr>
        <w:t>σ</w:t>
      </w:r>
      <w:r>
        <w:rPr>
          <w:rFonts w:cs="Times New Roman"/>
          <w:vertAlign w:val="subscript"/>
          <w:lang w:val="zh-CN"/>
        </w:rPr>
        <w:t>θ</w:t>
      </w:r>
      <w:r>
        <w:rPr>
          <w:rFonts w:cs="Times New Roman"/>
          <w:lang w:val="zh-CN"/>
        </w:rPr>
        <w:t>的平衡关系，按</w:t>
      </w:r>
      <w:r>
        <w:rPr>
          <w:rFonts w:hint="eastAsia"/>
        </w:rPr>
        <w:t>公式</w:t>
      </w:r>
      <w:r>
        <w:rPr>
          <w:rFonts w:hint="eastAsia"/>
          <w:lang w:val="zh-CN"/>
        </w:rPr>
        <w:t>（</w:t>
      </w:r>
      <w:r>
        <w:rPr>
          <w:rFonts w:ascii="宋体" w:hAnsi="宋体" w:cs="Times New Roman"/>
          <w:bCs/>
          <w:spacing w:val="-1"/>
          <w:szCs w:val="21"/>
        </w:rPr>
        <w:t>13</w:t>
      </w:r>
      <w:r>
        <w:rPr>
          <w:rFonts w:hint="eastAsia"/>
          <w:lang w:val="zh-CN"/>
        </w:rPr>
        <w:t>）</w:t>
      </w:r>
      <w:r>
        <w:t>计算</w:t>
      </w:r>
      <w:r>
        <w:rPr>
          <w:rFonts w:cs="Times New Roman"/>
          <w:lang w:val="zh-CN"/>
        </w:rPr>
        <w:t>：</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widowControl/>
              <w:spacing w:line="240" w:lineRule="auto"/>
              <w:ind w:firstLine="380"/>
              <w:jc w:val="center"/>
              <w:rPr>
                <w:rFonts w:eastAsia="黑体" w:cs="Times New Roman"/>
                <w:kern w:val="0"/>
                <w:sz w:val="20"/>
                <w:szCs w:val="24"/>
              </w:rPr>
            </w:pPr>
            <w:r>
              <w:rPr>
                <w:rFonts w:cs="Times New Roman"/>
                <w:kern w:val="0"/>
                <w:sz w:val="19"/>
                <w:szCs w:val="19"/>
              </w:rPr>
              <w:drawing>
                <wp:inline distT="0" distB="0" distL="0" distR="0">
                  <wp:extent cx="3377565" cy="1654810"/>
                  <wp:effectExtent l="0" t="0" r="13335" b="254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411"/>
                          <a:stretch>
                            <a:fillRect/>
                          </a:stretch>
                        </pic:blipFill>
                        <pic:spPr>
                          <a:xfrm>
                            <a:off x="0" y="0"/>
                            <a:ext cx="3377565" cy="16548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pStyle w:val="93"/>
              <w:spacing w:line="400" w:lineRule="exact"/>
              <w:rPr>
                <w:rFonts w:ascii="黑体" w:hAnsi="黑体" w:eastAsia="黑体"/>
                <w:kern w:val="0"/>
              </w:rPr>
            </w:pPr>
            <w:r>
              <w:rPr>
                <w:rFonts w:hint="eastAsia" w:ascii="黑体" w:hAnsi="黑体" w:eastAsia="黑体"/>
                <w:kern w:val="0"/>
              </w:rPr>
              <w:t>图</w:t>
            </w:r>
            <w:r>
              <w:rPr>
                <w:rFonts w:ascii="黑体" w:hAnsi="黑体" w:eastAsia="黑体"/>
                <w:kern w:val="0"/>
              </w:rPr>
              <w:t>1</w:t>
            </w:r>
            <w:r>
              <w:rPr>
                <w:rFonts w:hint="eastAsia" w:ascii="黑体" w:hAnsi="黑体" w:eastAsia="黑体"/>
                <w:kern w:val="0"/>
              </w:rPr>
              <w:t>4</w:t>
            </w:r>
            <w:r>
              <w:rPr>
                <w:rFonts w:hint="eastAsia" w:ascii="黑体" w:hAnsi="黑体" w:eastAsia="黑体" w:cs="黑体"/>
                <w:kern w:val="0"/>
              </w:rPr>
              <w:t>　</w:t>
            </w:r>
            <w:r>
              <w:rPr>
                <w:rFonts w:hint="eastAsia" w:ascii="黑体" w:hAnsi="黑体" w:eastAsia="黑体"/>
                <w:kern w:val="0"/>
              </w:rPr>
              <w:t>内填混凝土侧向压应力与钢管横向应力的关系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spacing w:line="240" w:lineRule="auto"/>
              <w:ind w:firstLine="400"/>
              <w:jc w:val="center"/>
              <w:rPr>
                <w:rFonts w:cs="Times New Roman"/>
                <w:kern w:val="0"/>
                <w:sz w:val="20"/>
                <w:szCs w:val="20"/>
              </w:rPr>
            </w:pPr>
            <w:r>
              <w:rPr>
                <w:rFonts w:cs="Times New Roman"/>
                <w:kern w:val="0"/>
                <w:sz w:val="20"/>
                <w:szCs w:val="20"/>
              </w:rPr>
              <w:t xml:space="preserve">                             </w:t>
            </w:r>
            <w:r>
              <w:rPr>
                <w:rFonts w:cs="Times New Roman"/>
                <w:kern w:val="0"/>
                <w:position w:val="-18"/>
                <w:sz w:val="20"/>
                <w:szCs w:val="20"/>
              </w:rPr>
              <w:object>
                <v:shape id="_x0000_i1218" o:spt="75" type="#_x0000_t75" style="height:28.15pt;width:129.6pt;" o:ole="t" filled="f" o:preferrelative="t" stroked="f" coordsize="21600,21600">
                  <v:path/>
                  <v:fill on="f" focussize="0,0"/>
                  <v:stroke on="f" joinstyle="miter"/>
                  <v:imagedata r:id="rId413" o:title=""/>
                  <o:lock v:ext="edit" aspectratio="t"/>
                  <w10:wrap type="none"/>
                  <w10:anchorlock/>
                </v:shape>
                <o:OLEObject Type="Embed" ProgID="Equation.DSMT4" ShapeID="_x0000_i1218" DrawAspect="Content" ObjectID="_1468075918" r:id="rId412">
                  <o:LockedField>false</o:LockedField>
                </o:OLEObject>
              </w:object>
            </w:r>
            <w:r>
              <w:rPr>
                <w:rFonts w:cs="Times New Roman"/>
                <w:kern w:val="0"/>
                <w:sz w:val="20"/>
                <w:szCs w:val="20"/>
              </w:rPr>
              <w:t xml:space="preserve">                             </w:t>
            </w:r>
            <w:r>
              <w:rPr>
                <w:rFonts w:hint="eastAsia" w:cs="Times New Roman"/>
                <w:kern w:val="0"/>
                <w:sz w:val="20"/>
                <w:szCs w:val="20"/>
              </w:rPr>
              <w:t>(</w:t>
            </w:r>
            <w:r>
              <w:rPr>
                <w:rFonts w:cs="Times New Roman"/>
                <w:kern w:val="0"/>
                <w:sz w:val="20"/>
                <w:szCs w:val="20"/>
              </w:rPr>
              <w:t>13</w:t>
            </w:r>
            <w:r>
              <w:rPr>
                <w:rFonts w:hint="eastAsia" w:cs="Times New Roman"/>
                <w:kern w:val="0"/>
                <w:sz w:val="20"/>
                <w:szCs w:val="20"/>
              </w:rPr>
              <w:t>)</w:t>
            </w:r>
          </w:p>
        </w:tc>
      </w:tr>
    </w:tbl>
    <w:p>
      <w:pPr>
        <w:spacing w:line="240" w:lineRule="auto"/>
        <w:ind w:firstLine="420"/>
        <w:rPr>
          <w:rFonts w:cs="Times New Roman"/>
          <w:szCs w:val="24"/>
        </w:rPr>
      </w:pPr>
      <w:r>
        <w:rPr>
          <w:rFonts w:cs="Times New Roman"/>
          <w:szCs w:val="24"/>
        </w:rPr>
        <w:t>考虑柱宽、钢管壁厚、钢材强度和混凝土标号4个关键参数的变化，按照《</w:t>
      </w:r>
      <w:r>
        <w:rPr>
          <w:rFonts w:cs="Times New Roman"/>
        </w:rPr>
        <w:t>钢管混凝土结构技术规范》</w:t>
      </w:r>
      <w:r>
        <w:rPr>
          <w:rFonts w:cs="Times New Roman"/>
          <w:szCs w:val="24"/>
        </w:rPr>
        <w:t>GB 50936的构造要求，共建立54个CFST方形柱FE模型，分析得到钢管横向应力</w:t>
      </w:r>
      <w:r>
        <w:rPr>
          <w:rFonts w:cs="Times New Roman"/>
          <w:i/>
          <w:szCs w:val="24"/>
        </w:rPr>
        <w:t>σ</w:t>
      </w:r>
      <w:r>
        <w:rPr>
          <w:rFonts w:cs="Times New Roman"/>
          <w:szCs w:val="24"/>
          <w:vertAlign w:val="subscript"/>
        </w:rPr>
        <w:t>θ</w:t>
      </w:r>
      <w:r>
        <w:rPr>
          <w:rFonts w:cs="Times New Roman"/>
          <w:szCs w:val="24"/>
        </w:rPr>
        <w:t>的取值。柱模型的高宽比取为3，从而避免端部约束的影响。图</w:t>
      </w:r>
      <w:r>
        <w:rPr>
          <w:rFonts w:hint="eastAsia" w:cs="Times New Roman"/>
          <w:szCs w:val="24"/>
        </w:rPr>
        <w:t>1</w:t>
      </w:r>
      <w:r>
        <w:rPr>
          <w:rFonts w:cs="Times New Roman"/>
          <w:szCs w:val="24"/>
        </w:rPr>
        <w:t>5所示为柱截面达到屈服承载力时钢管侧面中心点沿壁厚的平均横向应力</w:t>
      </w:r>
      <w:r>
        <w:rPr>
          <w:rFonts w:cs="Times New Roman"/>
          <w:i/>
          <w:szCs w:val="24"/>
        </w:rPr>
        <w:t>σ</w:t>
      </w:r>
      <w:r>
        <w:rPr>
          <w:rFonts w:cs="Times New Roman"/>
          <w:szCs w:val="24"/>
          <w:vertAlign w:val="subscript"/>
        </w:rPr>
        <w:t>θ</w:t>
      </w:r>
      <w:r>
        <w:rPr>
          <w:rFonts w:cs="Times New Roman"/>
          <w:szCs w:val="24"/>
        </w:rPr>
        <w:t>与钢材屈服强度</w:t>
      </w:r>
      <w:r>
        <w:rPr>
          <w:rFonts w:cs="Times New Roman"/>
          <w:i/>
          <w:szCs w:val="24"/>
        </w:rPr>
        <w:t>f</w:t>
      </w:r>
      <w:r>
        <w:rPr>
          <w:rFonts w:cs="Times New Roman"/>
          <w:szCs w:val="24"/>
          <w:vertAlign w:val="subscript"/>
        </w:rPr>
        <w:t>y</w:t>
      </w:r>
      <w:r>
        <w:rPr>
          <w:rFonts w:cs="Times New Roman"/>
          <w:szCs w:val="24"/>
        </w:rPr>
        <w:t>的比较结果。有限元计算的钢管横向应力不超过钢材屈服强度的3%，考虑到有限元模型刚度可能偏大，导致低估各部分的变形和相互作用，因此偏安全统一取</w:t>
      </w:r>
      <w:r>
        <w:rPr>
          <w:rFonts w:cs="Times New Roman"/>
          <w:i/>
          <w:szCs w:val="24"/>
        </w:rPr>
        <w:t>σ</w:t>
      </w:r>
      <w:r>
        <w:rPr>
          <w:rFonts w:cs="Times New Roman"/>
          <w:szCs w:val="24"/>
          <w:vertAlign w:val="subscript"/>
        </w:rPr>
        <w:t>θ</w:t>
      </w:r>
      <w:r>
        <w:rPr>
          <w:rFonts w:cs="Times New Roman"/>
          <w:szCs w:val="24"/>
        </w:rPr>
        <w:t>=0.03</w:t>
      </w:r>
      <w:r>
        <w:rPr>
          <w:rFonts w:cs="Times New Roman"/>
          <w:i/>
          <w:szCs w:val="24"/>
        </w:rPr>
        <w:t>f</w:t>
      </w:r>
      <w:r>
        <w:rPr>
          <w:rFonts w:cs="Times New Roman"/>
          <w:szCs w:val="24"/>
          <w:vertAlign w:val="subscript"/>
        </w:rPr>
        <w:t>y</w:t>
      </w:r>
      <w:r>
        <w:rPr>
          <w:rFonts w:cs="Times New Roman"/>
          <w:szCs w:val="24"/>
        </w:rPr>
        <w:t>。</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widowControl/>
              <w:spacing w:line="240" w:lineRule="auto"/>
              <w:ind w:firstLine="380"/>
              <w:jc w:val="center"/>
              <w:rPr>
                <w:rFonts w:eastAsia="黑体" w:cs="Times New Roman"/>
                <w:kern w:val="0"/>
                <w:sz w:val="20"/>
                <w:szCs w:val="24"/>
              </w:rPr>
            </w:pPr>
            <w:r>
              <w:rPr>
                <w:rFonts w:cs="Times New Roman"/>
                <w:kern w:val="0"/>
                <w:sz w:val="19"/>
                <w:szCs w:val="19"/>
              </w:rPr>
              <w:drawing>
                <wp:inline distT="0" distB="0" distL="0" distR="0">
                  <wp:extent cx="2419350" cy="1947545"/>
                  <wp:effectExtent l="0" t="0" r="0"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414"/>
                          <a:stretch>
                            <a:fillRect/>
                          </a:stretch>
                        </pic:blipFill>
                        <pic:spPr>
                          <a:xfrm>
                            <a:off x="0" y="0"/>
                            <a:ext cx="2459785" cy="19803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pStyle w:val="93"/>
              <w:spacing w:line="400" w:lineRule="exact"/>
              <w:rPr>
                <w:rFonts w:ascii="黑体" w:hAnsi="黑体" w:eastAsia="黑体"/>
                <w:kern w:val="0"/>
              </w:rPr>
            </w:pPr>
            <w:r>
              <w:rPr>
                <w:rFonts w:hint="eastAsia" w:ascii="黑体" w:hAnsi="黑体" w:eastAsia="黑体"/>
                <w:kern w:val="0"/>
              </w:rPr>
              <w:t>图</w:t>
            </w:r>
            <w:r>
              <w:rPr>
                <w:rFonts w:ascii="黑体" w:hAnsi="黑体" w:eastAsia="黑体"/>
                <w:kern w:val="0"/>
              </w:rPr>
              <w:t>1</w:t>
            </w:r>
            <w:r>
              <w:rPr>
                <w:rFonts w:hint="eastAsia" w:ascii="黑体" w:hAnsi="黑体" w:eastAsia="黑体"/>
                <w:kern w:val="0"/>
              </w:rPr>
              <w:t>5</w:t>
            </w:r>
            <w:r>
              <w:rPr>
                <w:rFonts w:hint="eastAsia" w:ascii="黑体" w:hAnsi="黑体" w:eastAsia="黑体" w:cs="黑体"/>
                <w:kern w:val="0"/>
              </w:rPr>
              <w:t>　</w:t>
            </w:r>
            <w:r>
              <w:rPr>
                <w:rFonts w:hint="eastAsia" w:ascii="黑体" w:hAnsi="黑体" w:eastAsia="黑体"/>
                <w:kern w:val="0"/>
              </w:rPr>
              <w:t>柱屈服时钢管横向应力</w:t>
            </w:r>
          </w:p>
        </w:tc>
      </w:tr>
    </w:tbl>
    <w:p>
      <w:pPr>
        <w:pStyle w:val="109"/>
        <w:numPr>
          <w:ilvl w:val="0"/>
          <w:numId w:val="0"/>
        </w:numPr>
        <w:spacing w:before="0" w:beforeLines="0" w:after="0" w:afterLines="0"/>
        <w:textAlignment w:val="center"/>
        <w:outlineLvl w:val="2"/>
        <w:rPr>
          <w:rFonts w:ascii="宋体" w:hAnsi="宋体" w:eastAsia="宋体"/>
          <w:color w:val="000000"/>
        </w:rPr>
      </w:pPr>
      <w:bookmarkStart w:id="416" w:name="_Toc186641595"/>
      <w:bookmarkStart w:id="417" w:name="_Toc185523627"/>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6.4</w:t>
      </w:r>
      <w:r>
        <w:rPr>
          <w:rFonts w:hint="eastAsia" w:ascii="Times New Roman" w:eastAsia="宋体"/>
          <w:color w:val="000000"/>
        </w:rPr>
        <w:t>　</w:t>
      </w:r>
      <w:r>
        <w:rPr>
          <w:rFonts w:ascii="Times New Roman" w:eastAsia="宋体"/>
          <w:lang w:val="zh-CN"/>
        </w:rPr>
        <w:t>为了验证钢管开</w:t>
      </w:r>
      <w:r>
        <w:rPr>
          <w:rFonts w:ascii="Times New Roman" w:eastAsia="宋体"/>
        </w:rPr>
        <w:t>孔</w:t>
      </w:r>
      <w:r>
        <w:rPr>
          <w:rFonts w:ascii="Times New Roman" w:eastAsia="宋体"/>
          <w:lang w:val="zh-CN"/>
        </w:rPr>
        <w:t>CFST方形柱轴压承载力计算公式的准确性，建立了60个有限元模型，并将有限元分析结果及试验结果与通过计算得到的轴压承载力进行对比，通过有限元计算得到柱模型算例的屈服承载力</w:t>
      </w:r>
      <w:r>
        <w:rPr>
          <w:rFonts w:ascii="Times New Roman" w:eastAsia="宋体"/>
          <w:i/>
          <w:iCs/>
          <w:lang w:val="zh-CN"/>
        </w:rPr>
        <w:t>P</w:t>
      </w:r>
      <w:r>
        <w:rPr>
          <w:rFonts w:ascii="Times New Roman" w:eastAsia="宋体"/>
          <w:vertAlign w:val="subscript"/>
          <w:lang w:val="zh-CN"/>
        </w:rPr>
        <w:t>y，FE</w:t>
      </w:r>
      <w:r>
        <w:rPr>
          <w:rFonts w:ascii="Times New Roman" w:eastAsia="宋体"/>
          <w:lang w:val="zh-CN"/>
        </w:rPr>
        <w:t>，与公式计算得到轴压承载力</w:t>
      </w:r>
      <w:r>
        <w:rPr>
          <w:rFonts w:ascii="Times New Roman" w:eastAsia="宋体"/>
          <w:i/>
          <w:iCs/>
          <w:lang w:val="zh-CN"/>
        </w:rPr>
        <w:t>N</w:t>
      </w:r>
      <w:r>
        <w:rPr>
          <w:rFonts w:ascii="Times New Roman" w:eastAsia="宋体"/>
          <w:vertAlign w:val="subscript"/>
          <w:lang w:val="zh-CN"/>
        </w:rPr>
        <w:t>0，CAL</w:t>
      </w:r>
      <w:r>
        <w:rPr>
          <w:rFonts w:ascii="Times New Roman" w:eastAsia="宋体"/>
          <w:lang w:val="zh-CN"/>
        </w:rPr>
        <w:t>进行比较，比较结果如图</w:t>
      </w:r>
      <w:r>
        <w:rPr>
          <w:rFonts w:hint="eastAsia" w:ascii="Times New Roman" w:eastAsia="宋体"/>
          <w:lang w:val="zh-CN"/>
        </w:rPr>
        <w:t>1</w:t>
      </w:r>
      <w:r>
        <w:rPr>
          <w:rFonts w:ascii="Times New Roman" w:eastAsia="宋体"/>
          <w:lang w:val="zh-CN"/>
        </w:rPr>
        <w:t>6所示。公式计算承载力与有限元值的平均比值（</w:t>
      </w:r>
      <w:r>
        <w:rPr>
          <w:rFonts w:ascii="Times New Roman" w:eastAsia="宋体"/>
          <w:i/>
          <w:iCs/>
          <w:lang w:val="zh-CN"/>
        </w:rPr>
        <w:t>N</w:t>
      </w:r>
      <w:r>
        <w:rPr>
          <w:rFonts w:ascii="Times New Roman" w:eastAsia="宋体"/>
          <w:vertAlign w:val="subscript"/>
          <w:lang w:val="zh-CN"/>
        </w:rPr>
        <w:t>0，CAL</w:t>
      </w:r>
      <w:r>
        <w:rPr>
          <w:rFonts w:ascii="Times New Roman" w:eastAsia="宋体"/>
          <w:lang w:val="zh-CN"/>
        </w:rPr>
        <w:t>/</w:t>
      </w:r>
      <w:r>
        <w:rPr>
          <w:rFonts w:ascii="Times New Roman" w:eastAsia="宋体"/>
          <w:i/>
          <w:iCs/>
          <w:lang w:val="zh-CN"/>
        </w:rPr>
        <w:t>P</w:t>
      </w:r>
      <w:r>
        <w:rPr>
          <w:rFonts w:ascii="Times New Roman" w:eastAsia="宋体"/>
          <w:vertAlign w:val="subscript"/>
          <w:lang w:val="zh-CN"/>
        </w:rPr>
        <w:t>y，FE</w:t>
      </w:r>
      <w:r>
        <w:rPr>
          <w:rFonts w:ascii="Times New Roman" w:eastAsia="宋体"/>
          <w:lang w:val="zh-CN"/>
        </w:rPr>
        <w:t>）为0.929，标准差为0.054，可见公式计算值相比有限元结果略偏于保守，其准确性可以满足设计需要。</w:t>
      </w:r>
      <w:bookmarkEnd w:id="416"/>
      <w:bookmarkEnd w:id="417"/>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widowControl/>
              <w:spacing w:line="240" w:lineRule="auto"/>
              <w:ind w:firstLine="380"/>
              <w:jc w:val="center"/>
              <w:rPr>
                <w:rFonts w:eastAsia="黑体" w:cs="Times New Roman"/>
                <w:kern w:val="0"/>
                <w:sz w:val="20"/>
                <w:szCs w:val="24"/>
              </w:rPr>
            </w:pPr>
            <w:r>
              <w:rPr>
                <w:rFonts w:cs="Times New Roman"/>
                <w:kern w:val="0"/>
                <w:sz w:val="19"/>
                <w:szCs w:val="19"/>
              </w:rPr>
              <w:drawing>
                <wp:inline distT="0" distB="0" distL="0" distR="0">
                  <wp:extent cx="2893060" cy="2339975"/>
                  <wp:effectExtent l="0" t="0" r="2540" b="3175"/>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415"/>
                          <a:stretch>
                            <a:fillRect/>
                          </a:stretch>
                        </pic:blipFill>
                        <pic:spPr>
                          <a:xfrm>
                            <a:off x="0" y="0"/>
                            <a:ext cx="2893354" cy="23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pStyle w:val="93"/>
              <w:spacing w:line="400" w:lineRule="exact"/>
              <w:rPr>
                <w:rFonts w:ascii="黑体" w:hAnsi="黑体" w:eastAsia="黑体"/>
                <w:kern w:val="0"/>
              </w:rPr>
            </w:pPr>
            <w:r>
              <w:rPr>
                <w:rFonts w:hint="eastAsia" w:ascii="黑体" w:hAnsi="黑体" w:eastAsia="黑体"/>
                <w:kern w:val="0"/>
              </w:rPr>
              <w:t xml:space="preserve"> </w:t>
            </w:r>
            <w:r>
              <w:rPr>
                <w:rFonts w:ascii="黑体" w:hAnsi="黑体" w:eastAsia="黑体"/>
                <w:kern w:val="0"/>
              </w:rPr>
              <w:t xml:space="preserve">   </w:t>
            </w:r>
            <w:r>
              <w:rPr>
                <w:rFonts w:hint="eastAsia" w:ascii="黑体" w:hAnsi="黑体" w:eastAsia="黑体"/>
                <w:kern w:val="0"/>
              </w:rPr>
              <w:t>图</w:t>
            </w:r>
            <w:r>
              <w:rPr>
                <w:rFonts w:ascii="黑体" w:hAnsi="黑体" w:eastAsia="黑体"/>
                <w:kern w:val="0"/>
              </w:rPr>
              <w:t>1</w:t>
            </w:r>
            <w:r>
              <w:rPr>
                <w:rFonts w:hint="eastAsia" w:ascii="黑体" w:hAnsi="黑体" w:eastAsia="黑体"/>
                <w:kern w:val="0"/>
              </w:rPr>
              <w:t>6</w:t>
            </w:r>
            <w:r>
              <w:rPr>
                <w:rFonts w:hint="eastAsia" w:ascii="黑体" w:hAnsi="黑体" w:eastAsia="黑体" w:cs="黑体"/>
                <w:kern w:val="0"/>
              </w:rPr>
              <w:t>　</w:t>
            </w:r>
            <w:r>
              <w:rPr>
                <w:rFonts w:hint="eastAsia" w:ascii="黑体" w:hAnsi="黑体" w:eastAsia="黑体"/>
                <w:kern w:val="0"/>
              </w:rPr>
              <w:t>有限元算例结果与公式计算值对比</w:t>
            </w:r>
          </w:p>
        </w:tc>
      </w:tr>
    </w:tbl>
    <w:p>
      <w:pPr>
        <w:pStyle w:val="109"/>
        <w:numPr>
          <w:ilvl w:val="0"/>
          <w:numId w:val="0"/>
        </w:numPr>
        <w:spacing w:before="0" w:beforeLines="0" w:after="0" w:afterLines="0"/>
        <w:textAlignment w:val="center"/>
        <w:outlineLvl w:val="2"/>
        <w:rPr>
          <w:rFonts w:ascii="宋体" w:hAnsi="宋体" w:eastAsia="宋体"/>
          <w:color w:val="000000"/>
        </w:rPr>
      </w:pPr>
      <w:bookmarkStart w:id="418" w:name="_Toc186641596"/>
      <w:bookmarkStart w:id="419" w:name="_Toc185523628"/>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7</w:t>
      </w:r>
      <w:r>
        <w:rPr>
          <w:rFonts w:hint="eastAsia" w:ascii="Times New Roman" w:eastAsia="宋体"/>
          <w:color w:val="000000"/>
        </w:rPr>
        <w:t>　</w:t>
      </w:r>
      <w:r>
        <w:rPr>
          <w:rFonts w:ascii="Times New Roman" w:eastAsia="宋体"/>
          <w:color w:val="000000"/>
        </w:rPr>
        <w:t>RC-SB节点的受剪承载力应符合下列规定：</w:t>
      </w:r>
      <w:bookmarkEnd w:id="418"/>
      <w:bookmarkEnd w:id="419"/>
    </w:p>
    <w:p>
      <w:pPr>
        <w:pStyle w:val="109"/>
        <w:numPr>
          <w:ilvl w:val="0"/>
          <w:numId w:val="0"/>
        </w:numPr>
        <w:spacing w:before="0" w:beforeLines="0" w:after="0" w:afterLines="0"/>
        <w:textAlignment w:val="center"/>
        <w:outlineLvl w:val="2"/>
        <w:rPr>
          <w:rFonts w:ascii="宋体" w:hAnsi="宋体" w:eastAsia="宋体"/>
          <w:color w:val="000000"/>
        </w:rPr>
      </w:pPr>
      <w:bookmarkStart w:id="420" w:name="_Toc185523629"/>
      <w:bookmarkStart w:id="421" w:name="_Toc186641597"/>
      <w:r>
        <w:rPr>
          <w:rFonts w:hAnsi="宋体"/>
          <w:color w:val="000000"/>
        </w:rPr>
        <w:t>9</w:t>
      </w:r>
      <w:r>
        <w:rPr>
          <w:rFonts w:hint="eastAsia" w:hAnsi="宋体"/>
          <w:color w:val="000000"/>
        </w:rPr>
        <w:t>.</w:t>
      </w:r>
      <w:r>
        <w:rPr>
          <w:rFonts w:hAnsi="宋体"/>
          <w:color w:val="000000"/>
        </w:rPr>
        <w:t>3</w:t>
      </w:r>
      <w:r>
        <w:rPr>
          <w:rFonts w:hint="eastAsia" w:hAnsi="宋体"/>
          <w:color w:val="000000"/>
        </w:rPr>
        <w:t>.</w:t>
      </w:r>
      <w:r>
        <w:rPr>
          <w:rFonts w:hAnsi="宋体"/>
          <w:color w:val="000000"/>
        </w:rPr>
        <w:t>7.2</w:t>
      </w:r>
      <w:r>
        <w:rPr>
          <w:rFonts w:hint="eastAsia" w:ascii="Times New Roman" w:eastAsia="宋体"/>
          <w:color w:val="000000"/>
        </w:rPr>
        <w:t>　</w:t>
      </w:r>
      <w:r>
        <w:rPr>
          <w:rFonts w:ascii="Times New Roman" w:eastAsia="宋体"/>
        </w:rPr>
        <w:t>武汉大学和武汉悉道建筑科技有限公司提出新型装配式RC-SB节点，并通过试验和有限元分析对RC-SB节点的受力性能开展了研究。其中，对两个新型装配式RC-SB轴压柱试件开展了轴压试验，得到了轴压柱最大承载力和最终破坏形态，满足现行规范计算的承载力要求。有限元分析表明轴压试件在轴压荷载峰值时刻核心区钢筒未出现屈服，验证了这种构造形式在轴压荷载作用下的安全性；对一个新型装配式RC-SB节点试件开展拟静力加载试验，拟静力加载试件的节点滞回曲线饱满无捏拢现象，表明节点具有优良的耗能能力，同时，对拟静力加载过程进行有限元模拟，模拟可见钢梁塑性铰形成的过程，提取钢梁端部荷载位移曲线，分析可知有限元分析结果与试验结果吻合良好。对节点试件的各力学性能指标进行分析可知：节点位移延性系数平均为1.85，节点延性良好；节点的强度和刚度退化较稳定；能量耗散系数和等效粘滞阻尼系数较高，表明节点具有优良的耗能能力。同时，对RC-SB节点的受剪承载力进行研究表明，RC-SB节点的受剪承载力可以由节点核心区斜截面上混凝土和箍筋的受剪承载力和外包钢管的受剪承载力两部分叠加得到。</w:t>
      </w:r>
      <w:bookmarkEnd w:id="420"/>
      <w:bookmarkEnd w:id="421"/>
    </w:p>
    <w:p>
      <w:pPr>
        <w:pStyle w:val="109"/>
        <w:numPr>
          <w:ilvl w:val="0"/>
          <w:numId w:val="0"/>
        </w:numPr>
        <w:spacing w:before="120" w:after="120"/>
        <w:textAlignment w:val="center"/>
        <w:rPr>
          <w:rFonts w:ascii="Times New Roman" w:eastAsia="宋体"/>
          <w:color w:val="000000"/>
        </w:rPr>
      </w:pPr>
      <w:bookmarkStart w:id="422" w:name="_Toc185523630"/>
      <w:bookmarkStart w:id="423" w:name="_Toc186641598"/>
      <w:r>
        <w:rPr>
          <w:rFonts w:hAnsi="黑体"/>
          <w:color w:val="000000"/>
        </w:rPr>
        <w:t>9.5</w:t>
      </w:r>
      <w:r>
        <w:rPr>
          <w:rFonts w:hint="eastAsia" w:ascii="Times New Roman" w:eastAsia="宋体"/>
          <w:color w:val="000000"/>
        </w:rPr>
        <w:t>　</w:t>
      </w:r>
      <w:r>
        <w:rPr>
          <w:rFonts w:hint="eastAsia" w:hAnsi="黑体"/>
          <w:color w:val="000000"/>
        </w:rPr>
        <w:t>钢管柱脚设计</w:t>
      </w:r>
      <w:bookmarkEnd w:id="422"/>
      <w:bookmarkEnd w:id="423"/>
    </w:p>
    <w:p>
      <w:pPr>
        <w:pStyle w:val="109"/>
        <w:numPr>
          <w:ilvl w:val="0"/>
          <w:numId w:val="0"/>
        </w:numPr>
        <w:spacing w:before="0" w:beforeLines="0" w:after="0" w:afterLines="0"/>
        <w:textAlignment w:val="center"/>
        <w:outlineLvl w:val="2"/>
        <w:rPr>
          <w:rFonts w:ascii="宋体" w:hAnsi="宋体" w:eastAsia="宋体"/>
          <w:color w:val="000000"/>
        </w:rPr>
      </w:pPr>
      <w:bookmarkStart w:id="424" w:name="_Toc185523631"/>
      <w:bookmarkStart w:id="425" w:name="_Toc186641599"/>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1</w:t>
      </w:r>
      <w:r>
        <w:rPr>
          <w:rFonts w:hint="eastAsia" w:ascii="Times New Roman" w:eastAsia="宋体"/>
          <w:color w:val="000000"/>
        </w:rPr>
        <w:t>　</w:t>
      </w:r>
      <w:r>
        <w:rPr>
          <w:rFonts w:hint="eastAsia" w:ascii="宋体" w:hAnsi="宋体" w:eastAsia="宋体"/>
          <w:color w:val="000000"/>
        </w:rPr>
        <w:t>鉴于日本阪神地震关于非埋入式柱脚、特别是在地面以上的非埋入式柱脚在地震中容易破坏的经验教训，钢管混凝土柱无地下室时应采用埋入式柱脚。当埋入地下至少两层时，地震作用较小，为施工简便，也可采用端承式、外包式等非埋入式柱脚。</w:t>
      </w:r>
      <w:bookmarkEnd w:id="424"/>
      <w:bookmarkEnd w:id="425"/>
    </w:p>
    <w:p>
      <w:pPr>
        <w:pStyle w:val="109"/>
        <w:numPr>
          <w:ilvl w:val="0"/>
          <w:numId w:val="0"/>
        </w:numPr>
        <w:spacing w:before="0" w:beforeLines="0" w:after="0" w:afterLines="0"/>
        <w:textAlignment w:val="center"/>
        <w:outlineLvl w:val="2"/>
        <w:rPr>
          <w:rFonts w:ascii="宋体" w:hAnsi="宋体" w:eastAsia="宋体"/>
          <w:color w:val="000000"/>
        </w:rPr>
      </w:pPr>
      <w:bookmarkStart w:id="426" w:name="_Toc185523632"/>
      <w:bookmarkStart w:id="427" w:name="_Toc186641600"/>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2</w:t>
      </w:r>
      <w:r>
        <w:rPr>
          <w:rFonts w:hint="eastAsia" w:ascii="Times New Roman" w:eastAsia="宋体"/>
          <w:color w:val="000000"/>
        </w:rPr>
        <w:t>　</w:t>
      </w:r>
      <w:r>
        <w:rPr>
          <w:rFonts w:hint="eastAsia" w:ascii="宋体" w:hAnsi="宋体" w:eastAsia="宋体"/>
          <w:color w:val="000000"/>
        </w:rPr>
        <w:t>钢管混凝土偏心受压柱柱脚，在轴向压力作用下，基础底板应符合局部受压承载力和受冲切承载力的规定。</w:t>
      </w:r>
      <w:bookmarkEnd w:id="426"/>
      <w:bookmarkEnd w:id="427"/>
    </w:p>
    <w:p>
      <w:pPr>
        <w:pStyle w:val="109"/>
        <w:numPr>
          <w:ilvl w:val="0"/>
          <w:numId w:val="0"/>
        </w:numPr>
        <w:spacing w:before="0" w:beforeLines="0" w:after="0" w:afterLines="0"/>
        <w:textAlignment w:val="center"/>
        <w:outlineLvl w:val="2"/>
        <w:rPr>
          <w:rFonts w:ascii="宋体" w:hAnsi="宋体" w:eastAsia="宋体"/>
          <w:color w:val="000000"/>
        </w:rPr>
      </w:pPr>
      <w:bookmarkStart w:id="428" w:name="_Toc185523633"/>
      <w:bookmarkStart w:id="429" w:name="_Toc186641601"/>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3~9</w:t>
      </w:r>
      <w:r>
        <w:rPr>
          <w:rFonts w:hint="eastAsia" w:hAnsi="宋体"/>
          <w:color w:val="000000"/>
        </w:rPr>
        <w:t>.</w:t>
      </w:r>
      <w:r>
        <w:rPr>
          <w:rFonts w:hAnsi="宋体"/>
          <w:color w:val="000000"/>
        </w:rPr>
        <w:t>5</w:t>
      </w:r>
      <w:r>
        <w:rPr>
          <w:rFonts w:hint="eastAsia" w:hAnsi="宋体"/>
          <w:color w:val="000000"/>
        </w:rPr>
        <w:t>.</w:t>
      </w:r>
      <w:r>
        <w:rPr>
          <w:rFonts w:hAnsi="宋体"/>
          <w:color w:val="000000"/>
        </w:rPr>
        <w:t>4</w:t>
      </w:r>
      <w:r>
        <w:rPr>
          <w:rFonts w:hint="eastAsia" w:ascii="Times New Roman" w:eastAsia="宋体"/>
          <w:color w:val="000000"/>
        </w:rPr>
        <w:t>　</w:t>
      </w:r>
      <w:r>
        <w:rPr>
          <w:rFonts w:hint="eastAsia" w:ascii="宋体" w:hAnsi="宋体" w:eastAsia="宋体"/>
          <w:color w:val="000000"/>
        </w:rPr>
        <w:t>为确保柱端的嵌固作用，对于无地下室或仅有一层地下室的钢管混凝土埋入式柱脚规定了最小的埋深的限制条件。</w:t>
      </w:r>
      <w:bookmarkEnd w:id="428"/>
      <w:bookmarkEnd w:id="429"/>
    </w:p>
    <w:p>
      <w:pPr>
        <w:pStyle w:val="109"/>
        <w:numPr>
          <w:ilvl w:val="0"/>
          <w:numId w:val="0"/>
        </w:numPr>
        <w:spacing w:before="0" w:beforeLines="0" w:after="0" w:afterLines="0"/>
        <w:textAlignment w:val="center"/>
        <w:outlineLvl w:val="2"/>
        <w:rPr>
          <w:rFonts w:ascii="宋体" w:hAnsi="宋体" w:eastAsia="宋体"/>
          <w:color w:val="000000"/>
        </w:rPr>
      </w:pPr>
      <w:bookmarkStart w:id="430" w:name="_Toc185523634"/>
      <w:bookmarkStart w:id="431" w:name="_Toc186641602"/>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6~9</w:t>
      </w:r>
      <w:r>
        <w:rPr>
          <w:rFonts w:hint="eastAsia" w:hAnsi="宋体"/>
          <w:color w:val="000000"/>
        </w:rPr>
        <w:t>.</w:t>
      </w:r>
      <w:r>
        <w:rPr>
          <w:rFonts w:hAnsi="宋体"/>
          <w:color w:val="000000"/>
        </w:rPr>
        <w:t>5</w:t>
      </w:r>
      <w:r>
        <w:rPr>
          <w:rFonts w:hint="eastAsia" w:hAnsi="宋体"/>
          <w:color w:val="000000"/>
        </w:rPr>
        <w:t>.</w:t>
      </w:r>
      <w:r>
        <w:rPr>
          <w:rFonts w:hAnsi="宋体"/>
          <w:color w:val="000000"/>
        </w:rPr>
        <w:t>7</w:t>
      </w:r>
      <w:r>
        <w:rPr>
          <w:rFonts w:hint="eastAsia" w:ascii="Times New Roman" w:eastAsia="宋体"/>
          <w:color w:val="000000"/>
        </w:rPr>
        <w:t>　</w:t>
      </w:r>
      <w:r>
        <w:rPr>
          <w:rFonts w:hint="eastAsia" w:ascii="宋体" w:hAnsi="宋体" w:eastAsia="宋体"/>
          <w:color w:val="000000"/>
        </w:rPr>
        <w:t>钢管混凝土偏心受拉柱柱脚，在符合规范规定的埋置深度基础上，基础底板在轴向拉力作用下的受冲切应符合规范规定，计算中冲切面高度取钢管的埋置深度。当冲切承载力不符合规定时，可配置抗冲切钢筋，也可在柱脚设置符合构造规定的受拉锚栓。柱脚底板从构造上应符合一定厚度的规定。</w:t>
      </w:r>
      <w:bookmarkEnd w:id="430"/>
      <w:bookmarkEnd w:id="431"/>
    </w:p>
    <w:p>
      <w:pPr>
        <w:pStyle w:val="109"/>
        <w:numPr>
          <w:ilvl w:val="0"/>
          <w:numId w:val="0"/>
        </w:numPr>
        <w:spacing w:before="0" w:beforeLines="0" w:after="0" w:afterLines="0"/>
        <w:textAlignment w:val="center"/>
        <w:outlineLvl w:val="2"/>
        <w:rPr>
          <w:rFonts w:ascii="宋体" w:hAnsi="宋体" w:eastAsia="宋体"/>
          <w:color w:val="000000"/>
        </w:rPr>
      </w:pPr>
      <w:bookmarkStart w:id="432" w:name="_Toc185523635"/>
      <w:bookmarkStart w:id="433" w:name="_Toc186641603"/>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8</w:t>
      </w:r>
      <w:r>
        <w:rPr>
          <w:rFonts w:hint="eastAsia" w:ascii="Times New Roman" w:eastAsia="宋体"/>
          <w:color w:val="000000"/>
        </w:rPr>
        <w:t>　</w:t>
      </w:r>
      <w:r>
        <w:rPr>
          <w:rFonts w:hint="eastAsia" w:ascii="宋体" w:hAnsi="宋体" w:eastAsia="宋体"/>
          <w:color w:val="000000"/>
        </w:rPr>
        <w:t>钢管混凝土柱的埋入式柱脚，包括偏心受压柱、偏心受拉柱，其埋置深度范围内应设置栓钉，以增加钢管壁与混凝土之间的粘结力及竖向抗剪能力。</w:t>
      </w:r>
      <w:bookmarkEnd w:id="432"/>
      <w:bookmarkEnd w:id="433"/>
    </w:p>
    <w:p>
      <w:pPr>
        <w:pStyle w:val="109"/>
        <w:numPr>
          <w:ilvl w:val="0"/>
          <w:numId w:val="0"/>
        </w:numPr>
        <w:spacing w:before="0" w:beforeLines="0" w:after="0" w:afterLines="0"/>
        <w:textAlignment w:val="center"/>
        <w:outlineLvl w:val="2"/>
        <w:rPr>
          <w:rFonts w:ascii="宋体" w:hAnsi="宋体" w:eastAsia="宋体"/>
          <w:color w:val="000000"/>
        </w:rPr>
      </w:pPr>
      <w:bookmarkStart w:id="434" w:name="_Toc185523636"/>
      <w:bookmarkStart w:id="435" w:name="_Toc186641604"/>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11</w:t>
      </w:r>
      <w:r>
        <w:rPr>
          <w:rFonts w:hint="eastAsia" w:ascii="Times New Roman" w:eastAsia="宋体"/>
          <w:color w:val="000000"/>
        </w:rPr>
        <w:t>　</w:t>
      </w:r>
      <w:r>
        <w:rPr>
          <w:rFonts w:hint="eastAsia" w:ascii="宋体" w:hAnsi="宋体" w:eastAsia="宋体"/>
          <w:color w:val="000000"/>
        </w:rPr>
        <w:t>浅埋式钢管混凝土柱柱脚通过十字形钢牛腿将柱底弯矩、轴力有效的传递给基础。此柱脚节点施工简单、开挖深度小、经济性好，既能满足结构受力要求，又能使现场施工安装方便，可直接搁置于基础垫层之上。可广泛应用于需要可靠传递钢管混凝土柱柱底轴力、弯矩，但柱脚埋置深度不宜过大的结构工程。</w:t>
      </w:r>
      <w:bookmarkEnd w:id="434"/>
      <w:bookmarkEnd w:id="435"/>
    </w:p>
    <w:p>
      <w:pPr>
        <w:pStyle w:val="109"/>
        <w:numPr>
          <w:ilvl w:val="0"/>
          <w:numId w:val="0"/>
        </w:numPr>
        <w:spacing w:before="0" w:beforeLines="0" w:after="0" w:afterLines="0"/>
        <w:textAlignment w:val="center"/>
        <w:outlineLvl w:val="2"/>
        <w:rPr>
          <w:rFonts w:ascii="宋体" w:hAnsi="宋体" w:eastAsia="宋体"/>
          <w:color w:val="000000"/>
        </w:rPr>
      </w:pPr>
      <w:bookmarkStart w:id="436" w:name="_Toc185523637"/>
      <w:bookmarkStart w:id="437" w:name="_Toc186641605"/>
      <w:r>
        <w:rPr>
          <w:rFonts w:hAnsi="宋体"/>
          <w:color w:val="000000"/>
        </w:rPr>
        <w:t>9</w:t>
      </w:r>
      <w:r>
        <w:rPr>
          <w:rFonts w:hint="eastAsia" w:hAnsi="宋体"/>
          <w:color w:val="000000"/>
        </w:rPr>
        <w:t>.</w:t>
      </w:r>
      <w:r>
        <w:rPr>
          <w:rFonts w:hAnsi="宋体"/>
          <w:color w:val="000000"/>
        </w:rPr>
        <w:t>5</w:t>
      </w:r>
      <w:r>
        <w:rPr>
          <w:rFonts w:hint="eastAsia" w:hAnsi="宋体"/>
          <w:color w:val="000000"/>
        </w:rPr>
        <w:t>.</w:t>
      </w:r>
      <w:r>
        <w:rPr>
          <w:rFonts w:hAnsi="宋体"/>
          <w:color w:val="000000"/>
        </w:rPr>
        <w:t>12</w:t>
      </w:r>
      <w:r>
        <w:rPr>
          <w:rFonts w:hint="eastAsia" w:ascii="Times New Roman" w:eastAsia="宋体"/>
          <w:color w:val="000000"/>
        </w:rPr>
        <w:t>　</w:t>
      </w:r>
      <w:r>
        <w:rPr>
          <w:rFonts w:hint="eastAsia" w:ascii="宋体" w:hAnsi="宋体" w:eastAsia="宋体"/>
          <w:color w:val="000000"/>
        </w:rPr>
        <w:t>钢管混凝土偏心受压柱非埋入式柱脚底板截面处，应进行正截面承载力和受剪承载力计算。</w:t>
      </w:r>
      <w:bookmarkEnd w:id="436"/>
      <w:bookmarkEnd w:id="437"/>
    </w:p>
    <w:p>
      <w:pPr>
        <w:pStyle w:val="108"/>
        <w:numPr>
          <w:ilvl w:val="1"/>
          <w:numId w:val="0"/>
        </w:numPr>
        <w:spacing w:before="240" w:after="240"/>
        <w:textAlignment w:val="center"/>
        <w:rPr>
          <w:color w:val="000000"/>
        </w:rPr>
      </w:pPr>
      <w:bookmarkStart w:id="438" w:name="_Toc186641606"/>
      <w:bookmarkStart w:id="439" w:name="_Toc185448957"/>
      <w:bookmarkStart w:id="440" w:name="_Toc185523638"/>
      <w:bookmarkStart w:id="441" w:name="_Toc185448867"/>
      <w:r>
        <w:rPr>
          <w:rFonts w:hAnsi="黑体"/>
        </w:rPr>
        <w:t>12</w:t>
      </w:r>
      <w:r>
        <w:rPr>
          <w:rFonts w:hint="eastAsia" w:hAnsi="黑体"/>
        </w:rPr>
        <w:t>　</w:t>
      </w:r>
      <w:r>
        <w:rPr>
          <w:rFonts w:hint="eastAsia"/>
          <w:color w:val="000000"/>
        </w:rPr>
        <w:t>结构施工</w:t>
      </w:r>
      <w:bookmarkEnd w:id="438"/>
      <w:bookmarkEnd w:id="439"/>
      <w:bookmarkEnd w:id="440"/>
      <w:bookmarkEnd w:id="441"/>
    </w:p>
    <w:p>
      <w:pPr>
        <w:pStyle w:val="109"/>
        <w:numPr>
          <w:ilvl w:val="0"/>
          <w:numId w:val="0"/>
        </w:numPr>
        <w:spacing w:before="120" w:after="120"/>
        <w:textAlignment w:val="center"/>
        <w:rPr>
          <w:rFonts w:ascii="Times New Roman" w:eastAsia="宋体"/>
          <w:color w:val="000000"/>
        </w:rPr>
      </w:pPr>
      <w:bookmarkStart w:id="442" w:name="_Toc185523639"/>
      <w:bookmarkStart w:id="443" w:name="_Toc186641607"/>
      <w:r>
        <w:rPr>
          <w:rFonts w:hAnsi="黑体"/>
          <w:color w:val="000000"/>
        </w:rPr>
        <w:t>12.1</w:t>
      </w:r>
      <w:r>
        <w:rPr>
          <w:rFonts w:hint="eastAsia" w:ascii="Times New Roman" w:eastAsia="宋体"/>
          <w:color w:val="000000"/>
        </w:rPr>
        <w:t>　</w:t>
      </w:r>
      <w:r>
        <w:rPr>
          <w:rFonts w:hint="eastAsia" w:hAnsi="黑体"/>
          <w:color w:val="000000"/>
        </w:rPr>
        <w:t>一般规定</w:t>
      </w:r>
      <w:bookmarkEnd w:id="442"/>
      <w:bookmarkEnd w:id="443"/>
    </w:p>
    <w:p>
      <w:pPr>
        <w:pStyle w:val="109"/>
        <w:numPr>
          <w:ilvl w:val="0"/>
          <w:numId w:val="0"/>
        </w:numPr>
        <w:spacing w:before="0" w:beforeLines="0" w:after="0" w:afterLines="0"/>
        <w:textAlignment w:val="center"/>
        <w:outlineLvl w:val="2"/>
        <w:rPr>
          <w:rFonts w:ascii="宋体" w:hAnsi="宋体" w:eastAsia="宋体"/>
          <w:color w:val="000000"/>
        </w:rPr>
      </w:pPr>
      <w:bookmarkStart w:id="444" w:name="_Toc185523640"/>
      <w:bookmarkStart w:id="445" w:name="_Toc186641608"/>
      <w:r>
        <w:rPr>
          <w:rFonts w:hAnsi="宋体"/>
          <w:color w:val="000000"/>
        </w:rPr>
        <w:t>12</w:t>
      </w:r>
      <w:r>
        <w:rPr>
          <w:rFonts w:hint="eastAsia" w:hAnsi="宋体"/>
          <w:color w:val="000000"/>
        </w:rPr>
        <w:t>.1.</w:t>
      </w:r>
      <w:r>
        <w:rPr>
          <w:rFonts w:hAnsi="宋体"/>
          <w:color w:val="000000"/>
        </w:rPr>
        <w:t>1</w:t>
      </w:r>
      <w:r>
        <w:rPr>
          <w:rFonts w:hint="eastAsia" w:ascii="Times New Roman" w:eastAsia="宋体"/>
          <w:color w:val="000000"/>
        </w:rPr>
        <w:t>　</w:t>
      </w:r>
      <w:r>
        <w:rPr>
          <w:rFonts w:hint="eastAsia" w:ascii="宋体" w:hAnsi="宋体" w:eastAsia="宋体"/>
          <w:color w:val="000000"/>
        </w:rPr>
        <w:t>装配式混合框架结构施工技术难度大，涉及深基础、钢结构等特殊专业施工要求，施工单位应具备相应的施工总承包和专业承包技术能力和相应资质。</w:t>
      </w:r>
      <w:bookmarkEnd w:id="444"/>
      <w:bookmarkEnd w:id="445"/>
    </w:p>
    <w:p>
      <w:pPr>
        <w:pStyle w:val="109"/>
        <w:numPr>
          <w:ilvl w:val="0"/>
          <w:numId w:val="0"/>
        </w:numPr>
        <w:spacing w:before="0" w:beforeLines="0" w:after="0" w:afterLines="0"/>
        <w:textAlignment w:val="center"/>
        <w:outlineLvl w:val="2"/>
        <w:rPr>
          <w:rFonts w:ascii="宋体" w:hAnsi="宋体" w:eastAsia="宋体"/>
          <w:color w:val="000000"/>
        </w:rPr>
      </w:pPr>
      <w:bookmarkStart w:id="446" w:name="_Toc185523641"/>
      <w:bookmarkStart w:id="447" w:name="_Toc186641609"/>
      <w:r>
        <w:rPr>
          <w:rFonts w:hAnsi="宋体"/>
          <w:color w:val="000000"/>
        </w:rPr>
        <w:t>12</w:t>
      </w:r>
      <w:r>
        <w:rPr>
          <w:rFonts w:hint="eastAsia" w:hAnsi="宋体"/>
          <w:color w:val="000000"/>
        </w:rPr>
        <w:t>.</w:t>
      </w:r>
      <w:r>
        <w:rPr>
          <w:rFonts w:hAnsi="宋体"/>
          <w:color w:val="000000"/>
        </w:rPr>
        <w:t>1</w:t>
      </w:r>
      <w:r>
        <w:rPr>
          <w:rFonts w:hint="eastAsia" w:hAnsi="宋体"/>
          <w:color w:val="000000"/>
        </w:rPr>
        <w:t>.</w:t>
      </w:r>
      <w:r>
        <w:rPr>
          <w:rFonts w:hAnsi="宋体"/>
          <w:color w:val="000000"/>
        </w:rPr>
        <w:t>2</w:t>
      </w:r>
      <w:r>
        <w:rPr>
          <w:rFonts w:hint="eastAsia" w:ascii="Times New Roman" w:eastAsia="宋体"/>
          <w:color w:val="000000"/>
        </w:rPr>
        <w:t>　</w:t>
      </w:r>
      <w:r>
        <w:rPr>
          <w:rFonts w:ascii="Times New Roman" w:eastAsia="宋体"/>
          <w:color w:val="000000"/>
        </w:rPr>
        <w:t>施工组织设计的内容应符合现行国家标准《建筑施工组织设计规范》GB/T 50502的规定；施工方案的内容应包括施工测量、构件吊装、安装施工、施工安全和环境保护措施等；复杂、异型结构施工过程中结构构件受力与设计使用状态有较大差异，结构应力会产生复杂变化，甚至出现应力和应变超限的情况，施工过程模拟分析可以有效地预测施工风险，通过采取必要的安全措施确保施工过程安全。</w:t>
      </w:r>
      <w:bookmarkEnd w:id="446"/>
      <w:bookmarkEnd w:id="447"/>
    </w:p>
    <w:p>
      <w:pPr>
        <w:pStyle w:val="109"/>
        <w:numPr>
          <w:ilvl w:val="0"/>
          <w:numId w:val="0"/>
        </w:numPr>
        <w:spacing w:before="0" w:beforeLines="0" w:after="0" w:afterLines="0"/>
        <w:textAlignment w:val="center"/>
        <w:outlineLvl w:val="2"/>
        <w:rPr>
          <w:rFonts w:ascii="宋体" w:hAnsi="宋体" w:eastAsia="宋体"/>
          <w:color w:val="000000"/>
        </w:rPr>
      </w:pPr>
      <w:bookmarkStart w:id="448" w:name="_Toc185523642"/>
      <w:bookmarkStart w:id="449" w:name="_Toc186641610"/>
      <w:r>
        <w:rPr>
          <w:rFonts w:hAnsi="宋体"/>
          <w:color w:val="000000"/>
        </w:rPr>
        <w:t>12</w:t>
      </w:r>
      <w:r>
        <w:rPr>
          <w:rFonts w:hint="eastAsia" w:hAnsi="宋体"/>
          <w:color w:val="000000"/>
        </w:rPr>
        <w:t>.</w:t>
      </w:r>
      <w:r>
        <w:rPr>
          <w:rFonts w:hAnsi="宋体"/>
          <w:color w:val="000000"/>
        </w:rPr>
        <w:t>1</w:t>
      </w:r>
      <w:r>
        <w:rPr>
          <w:rFonts w:hint="eastAsia" w:hAnsi="宋体"/>
          <w:color w:val="000000"/>
        </w:rPr>
        <w:t>.</w:t>
      </w:r>
      <w:r>
        <w:rPr>
          <w:rFonts w:hAnsi="宋体"/>
          <w:color w:val="000000"/>
        </w:rPr>
        <w:t>3</w:t>
      </w:r>
      <w:r>
        <w:rPr>
          <w:rFonts w:hint="eastAsia" w:ascii="Times New Roman" w:eastAsia="宋体"/>
          <w:color w:val="000000"/>
        </w:rPr>
        <w:t>　</w:t>
      </w:r>
      <w:r>
        <w:rPr>
          <w:rFonts w:ascii="Times New Roman" w:eastAsia="宋体"/>
        </w:rPr>
        <w:t>钢柱构件外观不得有严重缺陷和影响结构性能、安装、使用功能的尺寸偏差；安装用的焊接材料、高强度螺栓、普通螺栓、栓钉和涂料等，应具有产品质量证明书，其质量应分别符合现行国家标准《非合金钢及细晶粒钢焊条》GB</w:t>
      </w:r>
      <w:r>
        <w:rPr>
          <w:rFonts w:hint="eastAsia" w:ascii="宋体" w:hAnsi="宋体" w:eastAsia="宋体"/>
          <w:color w:val="000000"/>
        </w:rPr>
        <w:t>/</w:t>
      </w:r>
      <w:r>
        <w:rPr>
          <w:rFonts w:ascii="Times New Roman" w:eastAsia="宋体"/>
        </w:rPr>
        <w:t>T 5117、《热强钢焊条》GB</w:t>
      </w:r>
      <w:r>
        <w:rPr>
          <w:rFonts w:hint="eastAsia" w:ascii="宋体" w:hAnsi="宋体" w:eastAsia="宋体"/>
          <w:color w:val="000000"/>
        </w:rPr>
        <w:t>/</w:t>
      </w:r>
      <w:r>
        <w:rPr>
          <w:rFonts w:ascii="Times New Roman" w:eastAsia="宋体"/>
        </w:rPr>
        <w:t>T 5118、《熔化焊用钢丝》GB</w:t>
      </w:r>
      <w:r>
        <w:rPr>
          <w:rFonts w:hint="eastAsia" w:ascii="宋体" w:hAnsi="宋体" w:eastAsia="宋体"/>
          <w:color w:val="000000"/>
        </w:rPr>
        <w:t>/</w:t>
      </w:r>
      <w:r>
        <w:rPr>
          <w:rFonts w:ascii="Times New Roman" w:eastAsia="宋体"/>
        </w:rPr>
        <w:t>T 14957、《气体保护电弧焊用碳钢、低合金钢焊丝》GB</w:t>
      </w:r>
      <w:r>
        <w:rPr>
          <w:rFonts w:hint="eastAsia" w:ascii="宋体" w:hAnsi="宋体" w:eastAsia="宋体"/>
          <w:color w:val="000000"/>
        </w:rPr>
        <w:t>/</w:t>
      </w:r>
      <w:r>
        <w:rPr>
          <w:rFonts w:ascii="Times New Roman" w:eastAsia="宋体"/>
        </w:rPr>
        <w:t>T 8110、《碳钢药芯焊丝》GB</w:t>
      </w:r>
      <w:r>
        <w:rPr>
          <w:rFonts w:hint="eastAsia" w:ascii="宋体" w:hAnsi="宋体" w:eastAsia="宋体"/>
          <w:color w:val="000000"/>
        </w:rPr>
        <w:t>/</w:t>
      </w:r>
      <w:r>
        <w:rPr>
          <w:rFonts w:ascii="Times New Roman" w:eastAsia="宋体"/>
        </w:rPr>
        <w:t>T 10045、《低合金钢药芯焊丝》GB</w:t>
      </w:r>
      <w:r>
        <w:rPr>
          <w:rFonts w:hint="eastAsia" w:ascii="宋体" w:hAnsi="宋体" w:eastAsia="宋体"/>
          <w:color w:val="000000"/>
        </w:rPr>
        <w:t>/</w:t>
      </w:r>
      <w:r>
        <w:rPr>
          <w:rFonts w:ascii="Times New Roman" w:eastAsia="宋体"/>
        </w:rPr>
        <w:t>T 17493、《埋弧焊用碳钢焊丝和焊剂》GB</w:t>
      </w:r>
      <w:r>
        <w:rPr>
          <w:rFonts w:hint="eastAsia" w:ascii="宋体" w:hAnsi="宋体" w:eastAsia="宋体"/>
          <w:color w:val="000000"/>
        </w:rPr>
        <w:t>/</w:t>
      </w:r>
      <w:r>
        <w:rPr>
          <w:rFonts w:ascii="Times New Roman" w:eastAsia="宋体"/>
        </w:rPr>
        <w:t>T 5293、《埋弧焊用低合金钢焊丝和焊剂》GB/T 12470、《钢结构用高强度大六角头螺栓、大六角螺母、垫圈技术条件》GB</w:t>
      </w:r>
      <w:r>
        <w:rPr>
          <w:rFonts w:hint="eastAsia" w:ascii="宋体" w:hAnsi="宋体" w:eastAsia="宋体"/>
          <w:color w:val="000000"/>
        </w:rPr>
        <w:t>/</w:t>
      </w:r>
      <w:r>
        <w:rPr>
          <w:rFonts w:ascii="Times New Roman" w:eastAsia="宋体"/>
        </w:rPr>
        <w:t>T 1231、《钢结构用扭剪型高强度螺栓连接副》GB</w:t>
      </w:r>
      <w:r>
        <w:rPr>
          <w:rFonts w:hint="eastAsia" w:ascii="宋体" w:hAnsi="宋体" w:eastAsia="宋体"/>
          <w:color w:val="000000"/>
        </w:rPr>
        <w:t>/</w:t>
      </w:r>
      <w:r>
        <w:rPr>
          <w:rFonts w:ascii="Times New Roman" w:eastAsia="宋体"/>
        </w:rPr>
        <w:t>T 3632、《紧固件机械性能螺栓、螺钉和螺柱》GB/T 3098.1、《六角头螺栓 C级》GB</w:t>
      </w:r>
      <w:r>
        <w:rPr>
          <w:rFonts w:hint="eastAsia" w:ascii="宋体" w:hAnsi="宋体" w:eastAsia="宋体"/>
          <w:color w:val="000000"/>
        </w:rPr>
        <w:t>/</w:t>
      </w:r>
      <w:r>
        <w:rPr>
          <w:rFonts w:ascii="Times New Roman" w:eastAsia="宋体"/>
        </w:rPr>
        <w:t>T 5780和《六角头螺栓》GB</w:t>
      </w:r>
      <w:r>
        <w:rPr>
          <w:rFonts w:hint="eastAsia" w:ascii="宋体" w:hAnsi="宋体" w:eastAsia="宋体"/>
          <w:color w:val="000000"/>
        </w:rPr>
        <w:t>/</w:t>
      </w:r>
      <w:r>
        <w:rPr>
          <w:rFonts w:ascii="Times New Roman" w:eastAsia="宋体"/>
        </w:rPr>
        <w:t>T 5782、《电弧螺柱焊用圆柱头焊钉》GB</w:t>
      </w:r>
      <w:r>
        <w:rPr>
          <w:rFonts w:hint="eastAsia" w:ascii="宋体" w:hAnsi="宋体" w:eastAsia="宋体"/>
          <w:color w:val="000000"/>
        </w:rPr>
        <w:t>/</w:t>
      </w:r>
      <w:r>
        <w:rPr>
          <w:rFonts w:ascii="Times New Roman" w:eastAsia="宋体"/>
        </w:rPr>
        <w:t>T 10433及其他相关标准。</w:t>
      </w:r>
      <w:bookmarkEnd w:id="448"/>
      <w:bookmarkEnd w:id="449"/>
    </w:p>
    <w:p>
      <w:pPr>
        <w:pStyle w:val="109"/>
        <w:numPr>
          <w:ilvl w:val="0"/>
          <w:numId w:val="0"/>
        </w:numPr>
        <w:spacing w:before="0" w:beforeLines="0" w:after="0" w:afterLines="0"/>
        <w:textAlignment w:val="center"/>
        <w:outlineLvl w:val="2"/>
        <w:rPr>
          <w:rFonts w:ascii="宋体" w:hAnsi="宋体" w:eastAsia="宋体"/>
          <w:color w:val="000000"/>
        </w:rPr>
      </w:pPr>
      <w:bookmarkStart w:id="450" w:name="_Toc185523643"/>
      <w:bookmarkStart w:id="451" w:name="_Toc186641611"/>
      <w:r>
        <w:rPr>
          <w:rFonts w:hAnsi="宋体"/>
          <w:color w:val="000000"/>
        </w:rPr>
        <w:t>12</w:t>
      </w:r>
      <w:r>
        <w:rPr>
          <w:rFonts w:hint="eastAsia" w:hAnsi="宋体"/>
          <w:color w:val="000000"/>
        </w:rPr>
        <w:t>.</w:t>
      </w:r>
      <w:r>
        <w:rPr>
          <w:rFonts w:hAnsi="宋体"/>
          <w:color w:val="000000"/>
        </w:rPr>
        <w:t>1</w:t>
      </w:r>
      <w:r>
        <w:rPr>
          <w:rFonts w:hint="eastAsia" w:hAnsi="宋体"/>
          <w:color w:val="000000"/>
        </w:rPr>
        <w:t>.</w:t>
      </w:r>
      <w:r>
        <w:rPr>
          <w:rFonts w:hAnsi="宋体"/>
          <w:color w:val="000000"/>
        </w:rPr>
        <w:t>4</w:t>
      </w:r>
      <w:r>
        <w:rPr>
          <w:rFonts w:hint="eastAsia" w:ascii="Times New Roman" w:eastAsia="宋体"/>
          <w:color w:val="000000"/>
        </w:rPr>
        <w:t>　</w:t>
      </w:r>
      <w:r>
        <w:rPr>
          <w:rFonts w:ascii="Times New Roman" w:eastAsia="宋体"/>
          <w:color w:val="000000"/>
        </w:rPr>
        <w:t>由于装配式混合框架结构中钢构件自重较大且吊装高度较高，因此需严格控制起重量。吊装用吊具使用时间越长存在缺陷可能性越大，因此需以吊具质量控制安全事故发生，吊具应根据预制构件形状、尺寸及重量等参数进行配置，吊索水平夹角不宜小于60°，且不应小于45°；对尺寸较大或形状复杂的预制构件宜采用有分配梁或分配桁架的吊具。</w:t>
      </w:r>
      <w:bookmarkEnd w:id="450"/>
      <w:bookmarkEnd w:id="451"/>
    </w:p>
    <w:p>
      <w:pPr>
        <w:pStyle w:val="109"/>
        <w:numPr>
          <w:ilvl w:val="0"/>
          <w:numId w:val="0"/>
        </w:numPr>
        <w:spacing w:before="0" w:beforeLines="0" w:after="0" w:afterLines="0"/>
        <w:textAlignment w:val="center"/>
        <w:outlineLvl w:val="2"/>
        <w:rPr>
          <w:rFonts w:ascii="宋体" w:hAnsi="宋体" w:eastAsia="宋体"/>
          <w:color w:val="000000"/>
        </w:rPr>
      </w:pPr>
      <w:bookmarkStart w:id="452" w:name="_Toc186641612"/>
      <w:bookmarkStart w:id="453" w:name="_Toc185523645"/>
      <w:r>
        <w:rPr>
          <w:rFonts w:hAnsi="宋体"/>
          <w:color w:val="000000"/>
        </w:rPr>
        <w:t>12</w:t>
      </w:r>
      <w:r>
        <w:rPr>
          <w:rFonts w:hint="eastAsia" w:hAnsi="宋体"/>
          <w:color w:val="000000"/>
        </w:rPr>
        <w:t>.</w:t>
      </w:r>
      <w:r>
        <w:rPr>
          <w:rFonts w:hAnsi="宋体"/>
          <w:color w:val="000000"/>
        </w:rPr>
        <w:t>1</w:t>
      </w:r>
      <w:r>
        <w:rPr>
          <w:rFonts w:hint="eastAsia" w:hAnsi="宋体"/>
          <w:color w:val="000000"/>
        </w:rPr>
        <w:t>.</w:t>
      </w:r>
      <w:r>
        <w:rPr>
          <w:rFonts w:hAnsi="宋体"/>
          <w:color w:val="000000"/>
        </w:rPr>
        <w:t>6</w:t>
      </w:r>
      <w:r>
        <w:rPr>
          <w:rFonts w:hint="eastAsia" w:ascii="Times New Roman" w:eastAsia="宋体"/>
          <w:color w:val="000000"/>
        </w:rPr>
        <w:t>　</w:t>
      </w:r>
      <w:r>
        <w:rPr>
          <w:rFonts w:hint="eastAsia" w:ascii="宋体" w:hAnsi="宋体" w:eastAsia="宋体"/>
          <w:color w:val="000000"/>
        </w:rPr>
        <w:t>装配式混合框架结构施工应符合现行行业标准《建筑施工高处作业安全技术规范》</w:t>
      </w:r>
      <w:r>
        <w:rPr>
          <w:rFonts w:ascii="Times New Roman" w:eastAsia="宋体"/>
          <w:color w:val="000000"/>
        </w:rPr>
        <w:t>JGJ 80</w:t>
      </w:r>
      <w:r>
        <w:rPr>
          <w:rFonts w:hint="eastAsia" w:ascii="宋体" w:hAnsi="宋体" w:eastAsia="宋体"/>
          <w:color w:val="000000"/>
        </w:rPr>
        <w:t>、《建筑机械使用安全技术规程》</w:t>
      </w:r>
      <w:r>
        <w:rPr>
          <w:rFonts w:ascii="Times New Roman" w:eastAsia="宋体"/>
          <w:color w:val="000000"/>
        </w:rPr>
        <w:t>JGJ 33</w:t>
      </w:r>
      <w:r>
        <w:rPr>
          <w:rFonts w:hint="eastAsia" w:ascii="宋体" w:hAnsi="宋体" w:eastAsia="宋体"/>
          <w:color w:val="000000"/>
        </w:rPr>
        <w:t>、《施工现场临时用电安全技术规范》</w:t>
      </w:r>
      <w:r>
        <w:rPr>
          <w:rFonts w:ascii="Times New Roman" w:eastAsia="宋体"/>
          <w:color w:val="000000"/>
        </w:rPr>
        <w:t>JGJ 46</w:t>
      </w:r>
      <w:r>
        <w:rPr>
          <w:rFonts w:hint="eastAsia" w:ascii="宋体" w:hAnsi="宋体" w:eastAsia="宋体"/>
          <w:color w:val="000000"/>
        </w:rPr>
        <w:t>等有关规定。</w:t>
      </w:r>
      <w:bookmarkEnd w:id="452"/>
      <w:bookmarkEnd w:id="453"/>
    </w:p>
    <w:p>
      <w:pPr>
        <w:pStyle w:val="109"/>
        <w:numPr>
          <w:ilvl w:val="0"/>
          <w:numId w:val="0"/>
        </w:numPr>
        <w:spacing w:before="120" w:after="120"/>
        <w:textAlignment w:val="center"/>
        <w:rPr>
          <w:rFonts w:ascii="Times New Roman" w:eastAsia="宋体"/>
          <w:color w:val="000000"/>
        </w:rPr>
      </w:pPr>
      <w:bookmarkStart w:id="454" w:name="_Toc186641613"/>
      <w:bookmarkStart w:id="455" w:name="_Toc185523650"/>
      <w:r>
        <w:rPr>
          <w:rFonts w:hAnsi="黑体"/>
          <w:color w:val="000000"/>
        </w:rPr>
        <w:t>12.3</w:t>
      </w:r>
      <w:r>
        <w:rPr>
          <w:rFonts w:hint="eastAsia" w:ascii="Times New Roman" w:eastAsia="宋体"/>
          <w:color w:val="000000"/>
        </w:rPr>
        <w:t>　</w:t>
      </w:r>
      <w:r>
        <w:rPr>
          <w:rFonts w:hint="eastAsia" w:hAnsi="黑体"/>
          <w:color w:val="000000"/>
        </w:rPr>
        <w:t>构件吊装</w:t>
      </w:r>
      <w:bookmarkEnd w:id="454"/>
      <w:bookmarkEnd w:id="455"/>
    </w:p>
    <w:p>
      <w:pPr>
        <w:pStyle w:val="109"/>
        <w:numPr>
          <w:ilvl w:val="0"/>
          <w:numId w:val="0"/>
        </w:numPr>
        <w:spacing w:before="0" w:beforeLines="0" w:after="0" w:afterLines="0"/>
        <w:textAlignment w:val="center"/>
        <w:outlineLvl w:val="2"/>
        <w:rPr>
          <w:rFonts w:ascii="宋体" w:hAnsi="宋体" w:eastAsia="宋体"/>
          <w:color w:val="000000"/>
        </w:rPr>
      </w:pPr>
      <w:bookmarkStart w:id="456" w:name="_Toc185523653"/>
      <w:bookmarkStart w:id="457" w:name="_Toc186641614"/>
      <w:r>
        <w:rPr>
          <w:rFonts w:hAnsi="宋体"/>
          <w:color w:val="000000"/>
        </w:rPr>
        <w:t>12</w:t>
      </w:r>
      <w:r>
        <w:rPr>
          <w:rFonts w:hint="eastAsia" w:hAnsi="宋体"/>
          <w:color w:val="000000"/>
        </w:rPr>
        <w:t>.</w:t>
      </w:r>
      <w:r>
        <w:rPr>
          <w:rFonts w:hAnsi="宋体"/>
          <w:color w:val="000000"/>
        </w:rPr>
        <w:t>3</w:t>
      </w:r>
      <w:r>
        <w:rPr>
          <w:rFonts w:hint="eastAsia" w:hAnsi="宋体"/>
          <w:color w:val="000000"/>
        </w:rPr>
        <w:t>.</w:t>
      </w:r>
      <w:r>
        <w:rPr>
          <w:rFonts w:hAnsi="宋体"/>
          <w:color w:val="000000"/>
        </w:rPr>
        <w:t>4</w:t>
      </w:r>
      <w:r>
        <w:rPr>
          <w:rFonts w:hint="eastAsia" w:ascii="Times New Roman" w:eastAsia="宋体"/>
          <w:color w:val="000000"/>
        </w:rPr>
        <w:t>　</w:t>
      </w:r>
      <w:r>
        <w:rPr>
          <w:rFonts w:hint="eastAsia" w:ascii="宋体" w:hAnsi="宋体" w:eastAsia="宋体"/>
          <w:color w:val="000000"/>
        </w:rPr>
        <w:t>柱构件吊装单体的落位工法步骤如下：</w:t>
      </w:r>
      <w:bookmarkEnd w:id="456"/>
      <w:bookmarkEnd w:id="457"/>
    </w:p>
    <w:p>
      <w:pPr>
        <w:pStyle w:val="63"/>
        <w:ind w:firstLine="420"/>
      </w:pPr>
      <w:r>
        <w:rPr>
          <w:rFonts w:hint="eastAsia"/>
        </w:rPr>
        <w:t>1 在吊装对接前将基础面或楼板面以上预留的柱纵向钢筋连接部位的直螺纹套筒安装完毕。</w:t>
      </w:r>
    </w:p>
    <w:p>
      <w:pPr>
        <w:pStyle w:val="63"/>
        <w:ind w:firstLine="420"/>
      </w:pPr>
      <w:r>
        <w:rPr>
          <w:rFonts w:hint="eastAsia"/>
        </w:rPr>
        <w:t>2 将柱构件起吊至作业面后，调整好其方向缓慢下落，直至与柱位预留的柱纵筋中的高位钢筋重合100mm以上时停止下落，高位钢筋同时拧紧完成机械连接。</w:t>
      </w:r>
    </w:p>
    <w:p>
      <w:pPr>
        <w:pStyle w:val="63"/>
        <w:ind w:firstLine="420"/>
      </w:pPr>
      <w:r>
        <w:rPr>
          <w:rFonts w:hint="eastAsia"/>
        </w:rPr>
        <w:t>3 再次缓慢下落，直至低位钢筋满足连接要求后将其拧紧完成机械连接。</w:t>
      </w:r>
    </w:p>
    <w:p>
      <w:pPr>
        <w:pStyle w:val="63"/>
        <w:ind w:firstLine="420"/>
      </w:pPr>
      <w:r>
        <w:rPr>
          <w:rFonts w:hint="eastAsia"/>
        </w:rPr>
        <w:t>4 检查所有纵向钢筋连接完毕后及时调整柱构件的平面位置，最后完成下落并确保其与楼板面柱轮廓线重合。</w:t>
      </w:r>
    </w:p>
    <w:p>
      <w:pPr>
        <w:pStyle w:val="109"/>
        <w:numPr>
          <w:ilvl w:val="0"/>
          <w:numId w:val="0"/>
        </w:numPr>
        <w:spacing w:before="120" w:after="120"/>
        <w:textAlignment w:val="center"/>
        <w:rPr>
          <w:rFonts w:ascii="Times New Roman" w:eastAsia="宋体"/>
          <w:color w:val="000000"/>
        </w:rPr>
      </w:pPr>
      <w:bookmarkStart w:id="458" w:name="_Toc185523656"/>
      <w:bookmarkStart w:id="459" w:name="_Toc186641615"/>
      <w:r>
        <w:rPr>
          <w:rFonts w:hAnsi="黑体"/>
          <w:color w:val="000000"/>
        </w:rPr>
        <w:t>12.5</w:t>
      </w:r>
      <w:r>
        <w:rPr>
          <w:rFonts w:hint="eastAsia" w:ascii="Times New Roman" w:eastAsia="宋体"/>
          <w:color w:val="000000"/>
        </w:rPr>
        <w:t>　</w:t>
      </w:r>
      <w:r>
        <w:rPr>
          <w:rFonts w:hint="eastAsia" w:hAnsi="黑体"/>
          <w:color w:val="000000"/>
        </w:rPr>
        <w:t>施工安全和环境保护</w:t>
      </w:r>
      <w:bookmarkEnd w:id="458"/>
      <w:bookmarkEnd w:id="459"/>
    </w:p>
    <w:p>
      <w:pPr>
        <w:pStyle w:val="109"/>
        <w:numPr>
          <w:ilvl w:val="0"/>
          <w:numId w:val="0"/>
        </w:numPr>
        <w:spacing w:before="0" w:beforeLines="0" w:after="0" w:afterLines="0"/>
        <w:textAlignment w:val="center"/>
        <w:outlineLvl w:val="2"/>
        <w:rPr>
          <w:rFonts w:ascii="宋体" w:hAnsi="宋体" w:eastAsia="宋体"/>
          <w:color w:val="000000"/>
        </w:rPr>
      </w:pPr>
      <w:bookmarkStart w:id="460" w:name="_Toc185523657"/>
      <w:bookmarkStart w:id="461" w:name="_Toc186641616"/>
      <w:r>
        <w:rPr>
          <w:rFonts w:hAnsi="宋体"/>
          <w:color w:val="000000"/>
        </w:rPr>
        <w:t>12</w:t>
      </w:r>
      <w:r>
        <w:rPr>
          <w:rFonts w:hint="eastAsia" w:hAnsi="宋体"/>
          <w:color w:val="000000"/>
        </w:rPr>
        <w:t>.</w:t>
      </w:r>
      <w:r>
        <w:rPr>
          <w:rFonts w:hAnsi="宋体"/>
          <w:color w:val="000000"/>
        </w:rPr>
        <w:t>5</w:t>
      </w:r>
      <w:r>
        <w:rPr>
          <w:rFonts w:hint="eastAsia" w:hAnsi="宋体"/>
          <w:color w:val="000000"/>
        </w:rPr>
        <w:t>.</w:t>
      </w:r>
      <w:r>
        <w:rPr>
          <w:rFonts w:hAnsi="宋体"/>
          <w:color w:val="000000"/>
        </w:rPr>
        <w:t>2</w:t>
      </w:r>
      <w:r>
        <w:rPr>
          <w:rFonts w:hint="eastAsia" w:ascii="Times New Roman" w:eastAsia="宋体"/>
          <w:color w:val="000000"/>
        </w:rPr>
        <w:t>　</w:t>
      </w:r>
      <w:r>
        <w:rPr>
          <w:rFonts w:hint="eastAsia" w:ascii="宋体" w:hAnsi="宋体" w:eastAsia="宋体"/>
          <w:color w:val="000000"/>
        </w:rPr>
        <w:t>对作业人员进行安全教育培训可以增强作业人员的安全意识，是安全生产的基础。</w:t>
      </w:r>
      <w:bookmarkEnd w:id="460"/>
      <w:bookmarkEnd w:id="461"/>
    </w:p>
    <w:p>
      <w:pPr>
        <w:pStyle w:val="109"/>
        <w:numPr>
          <w:ilvl w:val="0"/>
          <w:numId w:val="0"/>
        </w:numPr>
        <w:spacing w:before="0" w:beforeLines="0" w:after="0" w:afterLines="0"/>
        <w:textAlignment w:val="center"/>
        <w:outlineLvl w:val="2"/>
        <w:rPr>
          <w:rFonts w:ascii="宋体" w:hAnsi="宋体" w:eastAsia="宋体"/>
          <w:color w:val="000000"/>
        </w:rPr>
      </w:pPr>
      <w:bookmarkStart w:id="462" w:name="_Toc185523658"/>
      <w:bookmarkStart w:id="463" w:name="_Toc186641617"/>
      <w:r>
        <w:rPr>
          <w:rFonts w:hAnsi="宋体"/>
          <w:color w:val="000000"/>
        </w:rPr>
        <w:t>12</w:t>
      </w:r>
      <w:r>
        <w:rPr>
          <w:rFonts w:hint="eastAsia" w:hAnsi="宋体"/>
          <w:color w:val="000000"/>
        </w:rPr>
        <w:t>.</w:t>
      </w:r>
      <w:r>
        <w:rPr>
          <w:rFonts w:hAnsi="宋体"/>
          <w:color w:val="000000"/>
        </w:rPr>
        <w:t>5</w:t>
      </w:r>
      <w:r>
        <w:rPr>
          <w:rFonts w:hint="eastAsia" w:hAnsi="宋体"/>
          <w:color w:val="000000"/>
        </w:rPr>
        <w:t>.</w:t>
      </w:r>
      <w:r>
        <w:rPr>
          <w:rFonts w:hAnsi="宋体"/>
          <w:color w:val="000000"/>
        </w:rPr>
        <w:t>9</w:t>
      </w:r>
      <w:r>
        <w:rPr>
          <w:rFonts w:hint="eastAsia" w:ascii="Times New Roman" w:eastAsia="宋体"/>
          <w:color w:val="000000"/>
        </w:rPr>
        <w:t>　</w:t>
      </w:r>
      <w:r>
        <w:rPr>
          <w:rFonts w:hint="eastAsia" w:ascii="宋体" w:hAnsi="宋体" w:eastAsia="宋体"/>
          <w:color w:val="000000"/>
        </w:rPr>
        <w:t>钢结构在施工过程中切割的高温钢板下落时，普通的尼龙类安全网会被高温钢板烫坏，失去防护作用，故应采用钢质安全防护网进行防护钢结构在施工过程中切割的高温钢板下落时，普通的尼龙类安全网会被高温钢板烫坏，失去防护作用，故应采用钢质安全防护网进行防护。</w:t>
      </w:r>
      <w:bookmarkEnd w:id="462"/>
      <w:bookmarkEnd w:id="463"/>
    </w:p>
    <w:p>
      <w:pPr>
        <w:pStyle w:val="108"/>
        <w:numPr>
          <w:ilvl w:val="1"/>
          <w:numId w:val="0"/>
        </w:numPr>
        <w:spacing w:before="240" w:after="240"/>
        <w:textAlignment w:val="center"/>
        <w:rPr>
          <w:color w:val="000000"/>
        </w:rPr>
      </w:pPr>
      <w:bookmarkStart w:id="464" w:name="_Toc185523659"/>
      <w:bookmarkStart w:id="465" w:name="_Toc185448958"/>
      <w:bookmarkStart w:id="466" w:name="_Toc185448868"/>
      <w:bookmarkStart w:id="467" w:name="_Toc186641618"/>
      <w:r>
        <w:rPr>
          <w:rFonts w:hAnsi="黑体"/>
        </w:rPr>
        <w:t>13</w:t>
      </w:r>
      <w:r>
        <w:rPr>
          <w:rFonts w:hint="eastAsia" w:hAnsi="黑体"/>
        </w:rPr>
        <w:t>　</w:t>
      </w:r>
      <w:r>
        <w:rPr>
          <w:rFonts w:hint="eastAsia"/>
          <w:color w:val="000000"/>
        </w:rPr>
        <w:t>工程验收</w:t>
      </w:r>
      <w:bookmarkEnd w:id="464"/>
      <w:bookmarkEnd w:id="465"/>
      <w:bookmarkEnd w:id="466"/>
      <w:bookmarkEnd w:id="467"/>
    </w:p>
    <w:p>
      <w:pPr>
        <w:pStyle w:val="109"/>
        <w:numPr>
          <w:ilvl w:val="0"/>
          <w:numId w:val="0"/>
        </w:numPr>
        <w:spacing w:before="120" w:after="120"/>
        <w:textAlignment w:val="center"/>
        <w:rPr>
          <w:rFonts w:ascii="Times New Roman" w:eastAsia="宋体"/>
          <w:color w:val="000000"/>
        </w:rPr>
      </w:pPr>
      <w:bookmarkStart w:id="468" w:name="_Toc185523660"/>
      <w:bookmarkStart w:id="469" w:name="_Toc186641619"/>
      <w:r>
        <w:rPr>
          <w:rFonts w:hAnsi="黑体"/>
          <w:color w:val="000000"/>
        </w:rPr>
        <w:t>13.1</w:t>
      </w:r>
      <w:r>
        <w:rPr>
          <w:rFonts w:hint="eastAsia" w:ascii="Times New Roman" w:eastAsia="宋体"/>
          <w:color w:val="000000"/>
        </w:rPr>
        <w:t>　</w:t>
      </w:r>
      <w:r>
        <w:rPr>
          <w:rFonts w:hint="eastAsia" w:hAnsi="黑体"/>
          <w:color w:val="000000"/>
        </w:rPr>
        <w:t>一般规定</w:t>
      </w:r>
      <w:bookmarkEnd w:id="468"/>
      <w:bookmarkEnd w:id="469"/>
    </w:p>
    <w:p>
      <w:pPr>
        <w:pStyle w:val="109"/>
        <w:numPr>
          <w:ilvl w:val="0"/>
          <w:numId w:val="0"/>
        </w:numPr>
        <w:spacing w:before="0" w:beforeLines="0" w:after="0" w:afterLines="0"/>
        <w:textAlignment w:val="center"/>
        <w:outlineLvl w:val="2"/>
        <w:rPr>
          <w:rFonts w:ascii="宋体" w:hAnsi="宋体" w:eastAsia="宋体"/>
          <w:color w:val="000000"/>
        </w:rPr>
      </w:pPr>
      <w:bookmarkStart w:id="470" w:name="_Toc185523661"/>
      <w:bookmarkStart w:id="471" w:name="_Toc186641620"/>
      <w:r>
        <w:rPr>
          <w:rFonts w:hAnsi="宋体"/>
          <w:color w:val="000000"/>
        </w:rPr>
        <w:t>13</w:t>
      </w:r>
      <w:r>
        <w:rPr>
          <w:rFonts w:hint="eastAsia" w:hAnsi="宋体"/>
          <w:color w:val="000000"/>
        </w:rPr>
        <w:t>.1.</w:t>
      </w:r>
      <w:r>
        <w:rPr>
          <w:rFonts w:hAnsi="宋体"/>
          <w:color w:val="000000"/>
        </w:rPr>
        <w:t>3</w:t>
      </w:r>
      <w:r>
        <w:rPr>
          <w:rFonts w:hint="eastAsia" w:ascii="Times New Roman" w:eastAsia="宋体"/>
          <w:color w:val="000000"/>
        </w:rPr>
        <w:t>　</w:t>
      </w:r>
      <w:r>
        <w:rPr>
          <w:rFonts w:ascii="Times New Roman" w:eastAsia="宋体"/>
          <w:color w:val="000000"/>
        </w:rPr>
        <w:t>装配式混合框架结构子分部工程各分项工程的划分与《混凝土结构工程施工质量验收规范》GB 50204、《钢结构工程施工质量验收标准》GB 50205、《钢管混凝土柱施工质量验收规范》GB 50628保持一致。</w:t>
      </w:r>
      <w:bookmarkEnd w:id="470"/>
      <w:bookmarkEnd w:id="471"/>
    </w:p>
    <w:p>
      <w:pPr>
        <w:pStyle w:val="109"/>
        <w:numPr>
          <w:ilvl w:val="0"/>
          <w:numId w:val="0"/>
        </w:numPr>
        <w:spacing w:before="0" w:beforeLines="0" w:after="0" w:afterLines="0"/>
        <w:textAlignment w:val="center"/>
        <w:outlineLvl w:val="2"/>
        <w:rPr>
          <w:rFonts w:ascii="宋体" w:hAnsi="宋体" w:eastAsia="宋体"/>
          <w:color w:val="000000"/>
        </w:rPr>
      </w:pPr>
      <w:bookmarkStart w:id="472" w:name="_Toc185523662"/>
      <w:bookmarkStart w:id="473" w:name="_Toc186641621"/>
      <w:r>
        <w:rPr>
          <w:rFonts w:hAnsi="宋体"/>
          <w:color w:val="000000"/>
        </w:rPr>
        <w:t>13</w:t>
      </w:r>
      <w:r>
        <w:rPr>
          <w:rFonts w:hint="eastAsia" w:hAnsi="宋体"/>
          <w:color w:val="000000"/>
        </w:rPr>
        <w:t>.</w:t>
      </w:r>
      <w:r>
        <w:rPr>
          <w:rFonts w:hAnsi="宋体"/>
          <w:color w:val="000000"/>
        </w:rPr>
        <w:t>1</w:t>
      </w:r>
      <w:r>
        <w:rPr>
          <w:rFonts w:hint="eastAsia" w:hAnsi="宋体"/>
          <w:color w:val="000000"/>
        </w:rPr>
        <w:t>.</w:t>
      </w:r>
      <w:r>
        <w:rPr>
          <w:rFonts w:hAnsi="宋体"/>
          <w:color w:val="000000"/>
        </w:rPr>
        <w:t>4</w:t>
      </w:r>
      <w:r>
        <w:rPr>
          <w:rFonts w:hint="eastAsia" w:ascii="Times New Roman" w:eastAsia="宋体"/>
          <w:color w:val="000000"/>
        </w:rPr>
        <w:t>　</w:t>
      </w:r>
      <w:r>
        <w:rPr>
          <w:rFonts w:hint="eastAsia" w:ascii="宋体" w:hAnsi="宋体" w:eastAsia="宋体"/>
          <w:color w:val="000000"/>
        </w:rPr>
        <w:t>结构实体检验并不是在子分部工程验收前的重新检验：而是在相应分项工程验收合格、过程控制使质量得到保证的基础上，对重要项目进行的验证性检查，其目的是为了加强装配式混合框架结构的施工质量验收。</w:t>
      </w:r>
      <w:bookmarkEnd w:id="472"/>
      <w:bookmarkEnd w:id="473"/>
    </w:p>
    <w:p>
      <w:pPr>
        <w:pStyle w:val="109"/>
        <w:numPr>
          <w:ilvl w:val="0"/>
          <w:numId w:val="0"/>
        </w:numPr>
        <w:spacing w:before="120" w:after="120"/>
        <w:textAlignment w:val="center"/>
        <w:rPr>
          <w:rFonts w:ascii="Times New Roman" w:eastAsia="宋体"/>
          <w:color w:val="000000"/>
        </w:rPr>
      </w:pPr>
      <w:bookmarkStart w:id="474" w:name="_Toc185523663"/>
      <w:bookmarkStart w:id="475" w:name="_Toc186641622"/>
      <w:r>
        <w:rPr>
          <w:rFonts w:hAnsi="黑体"/>
          <w:color w:val="000000"/>
        </w:rPr>
        <w:t>13.2</w:t>
      </w:r>
      <w:r>
        <w:rPr>
          <w:rFonts w:hint="eastAsia" w:ascii="Times New Roman" w:eastAsia="宋体"/>
          <w:color w:val="000000"/>
        </w:rPr>
        <w:t>　</w:t>
      </w:r>
      <w:r>
        <w:rPr>
          <w:rFonts w:hint="eastAsia" w:hAnsi="黑体"/>
          <w:color w:val="000000"/>
        </w:rPr>
        <w:t>预制构件</w:t>
      </w:r>
      <w:bookmarkEnd w:id="474"/>
      <w:bookmarkEnd w:id="475"/>
    </w:p>
    <w:p>
      <w:pPr>
        <w:pStyle w:val="109"/>
        <w:numPr>
          <w:ilvl w:val="0"/>
          <w:numId w:val="0"/>
        </w:numPr>
        <w:spacing w:before="0" w:beforeLines="0" w:after="0" w:afterLines="0"/>
        <w:textAlignment w:val="center"/>
        <w:outlineLvl w:val="2"/>
        <w:rPr>
          <w:rFonts w:ascii="宋体" w:hAnsi="宋体" w:eastAsia="宋体"/>
          <w:color w:val="000000"/>
        </w:rPr>
      </w:pPr>
      <w:bookmarkStart w:id="476" w:name="_Toc185523664"/>
      <w:bookmarkStart w:id="477" w:name="_Toc186641623"/>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1</w:t>
      </w:r>
      <w:r>
        <w:rPr>
          <w:rFonts w:hint="eastAsia" w:ascii="Times New Roman" w:eastAsia="宋体"/>
          <w:color w:val="000000"/>
        </w:rPr>
        <w:t>　</w:t>
      </w:r>
      <w:r>
        <w:rPr>
          <w:rFonts w:ascii="Times New Roman" w:eastAsia="宋体"/>
          <w:color w:val="000000"/>
        </w:rPr>
        <w:t>本条规定钢管构件进场的质量验收，其质量应符合设计文件要求及委托加工合同中的约定要求。加工质量符合《钢结构工程施工质量验收标准》GB 50205的要求。钢材厚度及允许偏差应符合其产品标准的要求。构件是在工厂加工的，其加工制作应符合有关标准的要求。并经检查验收合格方可出厂，检查验收应形成记录随构件一并出厂。检查出厂验收记录。</w:t>
      </w:r>
      <w:bookmarkEnd w:id="476"/>
      <w:bookmarkEnd w:id="477"/>
    </w:p>
    <w:p>
      <w:pPr>
        <w:pStyle w:val="109"/>
        <w:numPr>
          <w:ilvl w:val="0"/>
          <w:numId w:val="0"/>
        </w:numPr>
        <w:spacing w:before="0" w:beforeLines="0" w:after="0" w:afterLines="0"/>
        <w:textAlignment w:val="center"/>
        <w:outlineLvl w:val="2"/>
        <w:rPr>
          <w:rFonts w:ascii="宋体" w:hAnsi="宋体" w:eastAsia="宋体"/>
          <w:color w:val="000000"/>
        </w:rPr>
      </w:pPr>
      <w:bookmarkStart w:id="478" w:name="_Toc185523665"/>
      <w:bookmarkStart w:id="479" w:name="_Toc186641624"/>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2</w:t>
      </w:r>
      <w:r>
        <w:rPr>
          <w:rFonts w:hint="eastAsia" w:ascii="Times New Roman" w:eastAsia="宋体"/>
          <w:color w:val="000000"/>
        </w:rPr>
        <w:t>　</w:t>
      </w:r>
      <w:r>
        <w:rPr>
          <w:rFonts w:hint="eastAsia" w:ascii="宋体" w:hAnsi="宋体" w:eastAsia="宋体"/>
          <w:color w:val="000000"/>
        </w:rPr>
        <w:t>本条是钢管构件进场检查应检查其分批拼装、安装时所需要的各种配套构件，应配套进场，故检查其配套数量。</w:t>
      </w:r>
      <w:bookmarkEnd w:id="478"/>
      <w:bookmarkEnd w:id="479"/>
    </w:p>
    <w:p>
      <w:pPr>
        <w:pStyle w:val="109"/>
        <w:numPr>
          <w:ilvl w:val="0"/>
          <w:numId w:val="0"/>
        </w:numPr>
        <w:spacing w:before="0" w:beforeLines="0" w:after="0" w:afterLines="0"/>
        <w:textAlignment w:val="center"/>
        <w:outlineLvl w:val="2"/>
        <w:rPr>
          <w:rFonts w:ascii="宋体" w:hAnsi="宋体" w:eastAsia="宋体"/>
          <w:color w:val="000000"/>
        </w:rPr>
      </w:pPr>
      <w:bookmarkStart w:id="480" w:name="_Toc185523666"/>
      <w:bookmarkStart w:id="481" w:name="_Toc186641625"/>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3</w:t>
      </w:r>
      <w:r>
        <w:rPr>
          <w:rFonts w:hint="eastAsia" w:ascii="Times New Roman" w:eastAsia="宋体"/>
          <w:color w:val="000000"/>
        </w:rPr>
        <w:t>　</w:t>
      </w:r>
      <w:r>
        <w:rPr>
          <w:rFonts w:hint="eastAsia" w:ascii="Times New Roman" w:eastAsia="宋体"/>
        </w:rPr>
        <w:t>本条规定钢管构件上的加劲肋板、节点核心区钢管管壁厚度及管壁开孔的规格和数量应符合设计要求，作为进场验收检查的重要内容。</w:t>
      </w:r>
      <w:bookmarkEnd w:id="480"/>
      <w:bookmarkEnd w:id="481"/>
    </w:p>
    <w:p>
      <w:pPr>
        <w:pStyle w:val="109"/>
        <w:numPr>
          <w:ilvl w:val="0"/>
          <w:numId w:val="0"/>
        </w:numPr>
        <w:spacing w:before="0" w:beforeLines="0" w:after="0" w:afterLines="0"/>
        <w:textAlignment w:val="center"/>
        <w:outlineLvl w:val="2"/>
        <w:rPr>
          <w:rFonts w:ascii="宋体" w:hAnsi="宋体" w:eastAsia="宋体"/>
          <w:color w:val="000000"/>
        </w:rPr>
      </w:pPr>
      <w:bookmarkStart w:id="482" w:name="_Toc185523667"/>
      <w:bookmarkStart w:id="483" w:name="_Toc186641626"/>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4</w:t>
      </w:r>
      <w:r>
        <w:rPr>
          <w:rFonts w:hint="eastAsia" w:ascii="Times New Roman" w:eastAsia="宋体"/>
          <w:color w:val="000000"/>
        </w:rPr>
        <w:t>　</w:t>
      </w:r>
      <w:r>
        <w:rPr>
          <w:rFonts w:ascii="Times New Roman" w:eastAsia="宋体"/>
          <w:color w:val="000000"/>
        </w:rPr>
        <w:t>本条为现行国家标准《钢结构工程施工质量验收标准》GB 50205强制性条文，必须严格执行。钢部件的拼接或对接，原则上对接处应与原部件等强，此部分内容往往不在设计考虑的范围内，属于制作单位为接料所应遵循的工艺要求，在实际工程中经常出现质量问题，所以强调此项要求。</w:t>
      </w:r>
      <w:bookmarkEnd w:id="482"/>
      <w:bookmarkEnd w:id="483"/>
    </w:p>
    <w:p>
      <w:pPr>
        <w:pStyle w:val="109"/>
        <w:numPr>
          <w:ilvl w:val="0"/>
          <w:numId w:val="0"/>
        </w:numPr>
        <w:spacing w:before="0" w:beforeLines="0" w:after="0" w:afterLines="0"/>
        <w:textAlignment w:val="center"/>
        <w:outlineLvl w:val="2"/>
        <w:rPr>
          <w:rFonts w:ascii="宋体" w:hAnsi="宋体" w:eastAsia="宋体"/>
          <w:color w:val="000000"/>
        </w:rPr>
      </w:pPr>
      <w:bookmarkStart w:id="484" w:name="_Toc185523668"/>
      <w:bookmarkStart w:id="485" w:name="_Toc186641627"/>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5</w:t>
      </w:r>
      <w:r>
        <w:rPr>
          <w:rFonts w:hint="eastAsia" w:ascii="Times New Roman" w:eastAsia="宋体"/>
          <w:color w:val="000000"/>
        </w:rPr>
        <w:t>　</w:t>
      </w:r>
      <w:r>
        <w:rPr>
          <w:rFonts w:hint="eastAsia" w:ascii="宋体" w:hAnsi="宋体" w:eastAsia="宋体"/>
          <w:color w:val="000000"/>
        </w:rPr>
        <w:t>本条规定钢管构件进场外观质量的检查，主要是出厂运输、堆放过程中有无损坏、变形情况等。</w:t>
      </w:r>
      <w:bookmarkEnd w:id="484"/>
      <w:bookmarkEnd w:id="485"/>
    </w:p>
    <w:p>
      <w:pPr>
        <w:pStyle w:val="109"/>
        <w:numPr>
          <w:ilvl w:val="0"/>
          <w:numId w:val="0"/>
        </w:numPr>
        <w:spacing w:before="0" w:beforeLines="0" w:after="0" w:afterLines="0"/>
        <w:textAlignment w:val="center"/>
        <w:outlineLvl w:val="2"/>
        <w:rPr>
          <w:rFonts w:ascii="宋体" w:hAnsi="宋体" w:eastAsia="宋体"/>
          <w:color w:val="000000"/>
        </w:rPr>
      </w:pPr>
      <w:bookmarkStart w:id="486" w:name="_Toc185523669"/>
      <w:bookmarkStart w:id="487" w:name="_Toc186641628"/>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8</w:t>
      </w:r>
      <w:r>
        <w:rPr>
          <w:rFonts w:hint="eastAsia" w:ascii="Times New Roman" w:eastAsia="宋体"/>
          <w:color w:val="000000"/>
        </w:rPr>
        <w:t>　</w:t>
      </w:r>
      <w:r>
        <w:rPr>
          <w:rFonts w:ascii="Times New Roman" w:eastAsia="宋体"/>
        </w:rPr>
        <w:t>钢板的长度和宽度有限，大多需要进行拼接，由于翼缘板与腹板相连有两条角焊缝，因此翼缘板不应再设纵向拼接逢，只允许长度拼接，而腹板则长度、宽度均可拼接，拼接逢可为十字形或工字形，翼缘板或腹板接逢宜错开200mm以上，以避免焊缝交叉和焊缝缺陷的集中。</w:t>
      </w:r>
      <w:bookmarkEnd w:id="486"/>
      <w:bookmarkEnd w:id="487"/>
    </w:p>
    <w:p>
      <w:pPr>
        <w:pStyle w:val="109"/>
        <w:numPr>
          <w:ilvl w:val="0"/>
          <w:numId w:val="0"/>
        </w:numPr>
        <w:spacing w:before="0" w:beforeLines="0" w:after="0" w:afterLines="0"/>
        <w:textAlignment w:val="center"/>
        <w:outlineLvl w:val="2"/>
        <w:rPr>
          <w:rFonts w:ascii="Times New Roman" w:eastAsia="宋体"/>
          <w:color w:val="000000"/>
        </w:rPr>
      </w:pPr>
      <w:bookmarkStart w:id="488" w:name="_Toc185523670"/>
      <w:bookmarkStart w:id="489" w:name="_Toc186641629"/>
      <w:r>
        <w:rPr>
          <w:rFonts w:hAnsi="宋体"/>
          <w:color w:val="000000"/>
        </w:rPr>
        <w:t>13</w:t>
      </w:r>
      <w:r>
        <w:rPr>
          <w:rFonts w:hint="eastAsia" w:hAnsi="宋体"/>
          <w:color w:val="000000"/>
        </w:rPr>
        <w:t>.</w:t>
      </w:r>
      <w:r>
        <w:rPr>
          <w:rFonts w:hAnsi="宋体"/>
          <w:color w:val="000000"/>
        </w:rPr>
        <w:t>2</w:t>
      </w:r>
      <w:r>
        <w:rPr>
          <w:rFonts w:hint="eastAsia" w:hAnsi="宋体"/>
          <w:color w:val="000000"/>
        </w:rPr>
        <w:t>.</w:t>
      </w:r>
      <w:r>
        <w:rPr>
          <w:rFonts w:hAnsi="宋体"/>
          <w:color w:val="000000"/>
        </w:rPr>
        <w:t>11</w:t>
      </w:r>
      <w:r>
        <w:rPr>
          <w:rFonts w:hint="eastAsia" w:ascii="Times New Roman" w:eastAsia="宋体"/>
          <w:color w:val="000000"/>
        </w:rPr>
        <w:t>　预制构件表面的标识应清晰、准确，以确保能够清楚识别预制构件的“身份”，并有利于实现施工过程中质量问题的可追溯性。</w:t>
      </w:r>
      <w:bookmarkEnd w:id="488"/>
      <w:bookmarkEnd w:id="489"/>
    </w:p>
    <w:p>
      <w:pPr>
        <w:pStyle w:val="109"/>
        <w:numPr>
          <w:ilvl w:val="0"/>
          <w:numId w:val="0"/>
        </w:numPr>
        <w:spacing w:before="120" w:after="120"/>
        <w:textAlignment w:val="center"/>
        <w:rPr>
          <w:rFonts w:ascii="Times New Roman" w:eastAsia="宋体"/>
          <w:color w:val="000000"/>
        </w:rPr>
      </w:pPr>
      <w:bookmarkStart w:id="490" w:name="_Toc185523671"/>
      <w:bookmarkStart w:id="491" w:name="_Toc186641630"/>
      <w:r>
        <w:rPr>
          <w:rFonts w:hAnsi="黑体"/>
          <w:color w:val="000000"/>
        </w:rPr>
        <w:t>13.3</w:t>
      </w:r>
      <w:r>
        <w:rPr>
          <w:rFonts w:hint="eastAsia" w:ascii="Times New Roman" w:eastAsia="宋体"/>
          <w:color w:val="000000"/>
        </w:rPr>
        <w:t>　</w:t>
      </w:r>
      <w:r>
        <w:rPr>
          <w:rFonts w:hint="eastAsia" w:hAnsi="黑体"/>
          <w:color w:val="000000"/>
        </w:rPr>
        <w:t>安装与连接</w:t>
      </w:r>
      <w:bookmarkEnd w:id="490"/>
      <w:bookmarkEnd w:id="491"/>
    </w:p>
    <w:p>
      <w:pPr>
        <w:pStyle w:val="109"/>
        <w:numPr>
          <w:ilvl w:val="0"/>
          <w:numId w:val="0"/>
        </w:numPr>
        <w:spacing w:before="0" w:beforeLines="0" w:after="0" w:afterLines="0"/>
        <w:textAlignment w:val="center"/>
        <w:outlineLvl w:val="2"/>
        <w:rPr>
          <w:rFonts w:ascii="宋体" w:hAnsi="宋体" w:eastAsia="宋体"/>
          <w:color w:val="000000"/>
        </w:rPr>
      </w:pPr>
      <w:bookmarkStart w:id="492" w:name="_Toc185523672"/>
      <w:bookmarkStart w:id="493" w:name="_Toc186641631"/>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2</w:t>
      </w:r>
      <w:r>
        <w:rPr>
          <w:rFonts w:hint="eastAsia" w:ascii="Times New Roman" w:eastAsia="宋体"/>
          <w:color w:val="000000"/>
        </w:rPr>
        <w:t>　顶紧面紧贴与否直接影响节点荷载或拼接柱的荷载传递，保证一定的贴紧面是非常重要的。</w:t>
      </w:r>
      <w:bookmarkEnd w:id="492"/>
      <w:bookmarkEnd w:id="493"/>
    </w:p>
    <w:p>
      <w:pPr>
        <w:pStyle w:val="109"/>
        <w:numPr>
          <w:ilvl w:val="0"/>
          <w:numId w:val="0"/>
        </w:numPr>
        <w:spacing w:before="0" w:beforeLines="0" w:after="0" w:afterLines="0"/>
        <w:textAlignment w:val="center"/>
        <w:outlineLvl w:val="2"/>
        <w:rPr>
          <w:rFonts w:ascii="宋体" w:hAnsi="宋体" w:eastAsia="宋体"/>
          <w:color w:val="000000"/>
        </w:rPr>
      </w:pPr>
      <w:bookmarkStart w:id="494" w:name="_Toc185523673"/>
      <w:bookmarkStart w:id="495" w:name="_Toc186641632"/>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5</w:t>
      </w:r>
      <w:r>
        <w:rPr>
          <w:rFonts w:hint="eastAsia" w:ascii="Times New Roman" w:eastAsia="宋体"/>
          <w:color w:val="000000"/>
        </w:rPr>
        <w:t>　</w:t>
      </w:r>
      <w:r>
        <w:rPr>
          <w:rFonts w:ascii="Times New Roman" w:eastAsia="宋体"/>
          <w:color w:val="000000"/>
        </w:rPr>
        <w:t>本条规定钢管混凝土构件焊接及焊接材料的选择要求，焊接材料与母材应匹配。除设计要求外，还应遵循现行国家标准《钢结构工程施工质量验收标准》GB 50205的规定。</w:t>
      </w:r>
      <w:bookmarkEnd w:id="494"/>
      <w:bookmarkEnd w:id="495"/>
    </w:p>
    <w:p>
      <w:pPr>
        <w:pStyle w:val="109"/>
        <w:numPr>
          <w:ilvl w:val="0"/>
          <w:numId w:val="0"/>
        </w:numPr>
        <w:spacing w:before="0" w:beforeLines="0" w:after="0" w:afterLines="0"/>
        <w:textAlignment w:val="center"/>
        <w:outlineLvl w:val="2"/>
        <w:rPr>
          <w:rFonts w:ascii="Times New Roman" w:eastAsia="宋体"/>
        </w:rPr>
      </w:pPr>
      <w:bookmarkStart w:id="496" w:name="_Toc185523674"/>
      <w:bookmarkStart w:id="497" w:name="_Toc186641633"/>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6</w:t>
      </w:r>
      <w:r>
        <w:rPr>
          <w:rFonts w:hint="eastAsia" w:ascii="Times New Roman" w:eastAsia="宋体"/>
          <w:color w:val="000000"/>
        </w:rPr>
        <w:t>　</w:t>
      </w:r>
      <w:r>
        <w:rPr>
          <w:rFonts w:ascii="Times New Roman" w:eastAsia="宋体"/>
        </w:rPr>
        <w:t>本条对钢管内混凝土的施工缝作出规定，通常应尽可能不留施工缝，非留不可时，应有留置方案，并按方案进行留置和处理，留置方案应在专项施工方案中作出明确规定，并应满足设计要求。留置施工缝时，停止浇筑后将管口封闭，以防水、油和异物等落入。若管内混凝土留置施工缝时，在钢管对接焊口，钢管应高出混凝土施工缝不少于500mm，以防钢管焊接时，其温度影响混凝土质量。留施工缝要待已浇筑混凝土终凝并达到一定设计强度，经过对已浇筑混凝土面的清理、凿毛，并清除落入管内的水及异物等，先浇一层厚度为100mm～200mm的与混凝土强度等级相同的水泥砂浆，增加施工缝的粘结和防止自由下落的骨料产生弹跳，再按程序浇筑。</w:t>
      </w:r>
      <w:bookmarkEnd w:id="496"/>
      <w:bookmarkEnd w:id="497"/>
    </w:p>
    <w:p>
      <w:pPr>
        <w:pStyle w:val="63"/>
        <w:ind w:firstLine="420"/>
      </w:pPr>
      <w:r>
        <w:rPr>
          <w:rFonts w:hint="eastAsia"/>
        </w:rPr>
        <w:t>对于人员无法进入钢管内处理施工缝时或不方便处理施工缝的，不宜留置施工缝。</w:t>
      </w:r>
    </w:p>
    <w:p>
      <w:pPr>
        <w:pStyle w:val="109"/>
        <w:numPr>
          <w:ilvl w:val="0"/>
          <w:numId w:val="0"/>
        </w:numPr>
        <w:spacing w:before="0" w:beforeLines="0" w:after="0" w:afterLines="0"/>
        <w:textAlignment w:val="center"/>
        <w:outlineLvl w:val="2"/>
        <w:rPr>
          <w:rFonts w:ascii="宋体" w:hAnsi="宋体" w:eastAsia="宋体"/>
          <w:color w:val="000000"/>
        </w:rPr>
      </w:pPr>
      <w:bookmarkStart w:id="498" w:name="_Toc185523675"/>
      <w:bookmarkStart w:id="499" w:name="_Toc186641634"/>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7</w:t>
      </w:r>
      <w:r>
        <w:rPr>
          <w:rFonts w:hint="eastAsia" w:ascii="Times New Roman" w:eastAsia="宋体"/>
          <w:color w:val="000000"/>
        </w:rPr>
        <w:t>　钢管内混凝土浇筑的密实应达到设计要求，并应无脱粘无离析现象。由于混凝土密实度检查的困难，必须在施工过程加强控制，为达到密实，可以优化配合比设计，作好混凝土收缩控制等。如果设计提出要求时，应按设计要求处理。</w:t>
      </w:r>
      <w:bookmarkEnd w:id="498"/>
      <w:bookmarkEnd w:id="499"/>
    </w:p>
    <w:p>
      <w:pPr>
        <w:pStyle w:val="109"/>
        <w:numPr>
          <w:ilvl w:val="0"/>
          <w:numId w:val="0"/>
        </w:numPr>
        <w:spacing w:before="0" w:beforeLines="0" w:after="0" w:afterLines="0"/>
        <w:textAlignment w:val="center"/>
        <w:outlineLvl w:val="2"/>
        <w:rPr>
          <w:rFonts w:ascii="宋体" w:hAnsi="宋体" w:eastAsia="宋体"/>
          <w:color w:val="000000"/>
        </w:rPr>
      </w:pPr>
      <w:bookmarkStart w:id="500" w:name="_Toc185523676"/>
      <w:bookmarkStart w:id="501" w:name="_Toc186641635"/>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9</w:t>
      </w:r>
      <w:r>
        <w:rPr>
          <w:rFonts w:hint="eastAsia" w:ascii="Times New Roman" w:eastAsia="宋体"/>
          <w:color w:val="000000"/>
        </w:rPr>
        <w:t>　</w:t>
      </w:r>
      <w:r>
        <w:rPr>
          <w:rFonts w:hint="eastAsia" w:ascii="宋体" w:hAnsi="宋体" w:eastAsia="宋体"/>
          <w:color w:val="000000"/>
        </w:rPr>
        <w:t>本条规定了钢管混凝土柱与钢筋混凝土梁连接节点核心区的处理形式。施工中应依据施工图设计文件进行放大样或做出模型，标明构造形式、钢管混凝土柱与钢筋混凝土梁、钢筋之间的关系。</w:t>
      </w:r>
      <w:bookmarkEnd w:id="500"/>
      <w:bookmarkEnd w:id="501"/>
    </w:p>
    <w:p>
      <w:pPr>
        <w:pStyle w:val="109"/>
        <w:numPr>
          <w:ilvl w:val="0"/>
          <w:numId w:val="0"/>
        </w:numPr>
        <w:spacing w:before="0" w:beforeLines="0" w:after="0" w:afterLines="0"/>
        <w:textAlignment w:val="center"/>
        <w:outlineLvl w:val="2"/>
        <w:rPr>
          <w:rFonts w:ascii="Times New Roman" w:eastAsia="宋体"/>
        </w:rPr>
      </w:pPr>
      <w:bookmarkStart w:id="502" w:name="_Toc185523677"/>
      <w:bookmarkStart w:id="503" w:name="_Toc186641636"/>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10</w:t>
      </w:r>
      <w:r>
        <w:rPr>
          <w:rFonts w:hint="eastAsia" w:ascii="Times New Roman" w:eastAsia="宋体"/>
          <w:color w:val="000000"/>
        </w:rPr>
        <w:t>　</w:t>
      </w:r>
      <w:r>
        <w:rPr>
          <w:rFonts w:ascii="Times New Roman" w:eastAsia="宋体"/>
        </w:rPr>
        <w:t>本条规定了端承式柱脚就位及螺栓拧紧后的灌浆要求。柱脚端板下的灌浆应及时灌注，柱脚端部二次灌浆强度应符合设计要求，同时，其灌浆厚度及水泥基灌浆材料可符合现行国家标准《钢管混凝土工程施工质量验收规范》GB 50628的相关规定。</w:t>
      </w:r>
      <w:bookmarkEnd w:id="502"/>
      <w:bookmarkEnd w:id="503"/>
    </w:p>
    <w:p>
      <w:pPr>
        <w:pStyle w:val="109"/>
        <w:numPr>
          <w:ilvl w:val="0"/>
          <w:numId w:val="0"/>
        </w:numPr>
        <w:spacing w:before="0" w:beforeLines="0" w:after="0" w:afterLines="0"/>
        <w:textAlignment w:val="center"/>
        <w:outlineLvl w:val="2"/>
        <w:rPr>
          <w:rFonts w:ascii="Times New Roman" w:eastAsia="宋体"/>
          <w:color w:val="000000"/>
        </w:rPr>
      </w:pPr>
      <w:bookmarkStart w:id="504" w:name="_Toc185523678"/>
      <w:bookmarkStart w:id="505" w:name="_Toc186641637"/>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15</w:t>
      </w:r>
      <w:r>
        <w:rPr>
          <w:rFonts w:hint="eastAsia" w:ascii="Times New Roman" w:eastAsia="宋体"/>
          <w:color w:val="000000"/>
        </w:rPr>
        <w:t>　因管内混凝土浇筑方法的需要，在钢管上开孔，用于浇筑混凝土、排气及插入振动器振捣等，规定开孔的位置、大小、形式、数量等，以及孔的封堵作法，施工单位应按专项施工方案进行。开孔的留置要求方便、合理，混凝土浇筑前应对开孔的要求进行检查，并对钢管混凝土构件进行验收，做好检查记录。确认钢管混凝士构件的支撑体系、浇筑孔、排气孔的数量、位置、尺寸符合要求。</w:t>
      </w:r>
      <w:bookmarkEnd w:id="504"/>
      <w:bookmarkEnd w:id="505"/>
    </w:p>
    <w:p>
      <w:pPr>
        <w:pStyle w:val="63"/>
        <w:ind w:firstLine="420"/>
      </w:pPr>
      <w:r>
        <w:t>管内</w:t>
      </w:r>
      <w:r>
        <w:rPr>
          <w:rFonts w:hint="eastAsia"/>
        </w:rPr>
        <w:t>混凝土的浇筑方法应按照结构形式选择，并根据选择的浇筑方法(高抛浇筑法、导管浇筑法、手工逐段浇筑法、泵送顶升法等)进行浇筑工艺试验。试验应形成记录。能保证浇筑质量，按施工方案及浇筑工艺试验结果的浇筑方法进行浇筑。浇筑中应防止混凝土产生离析。</w:t>
      </w:r>
    </w:p>
    <w:p>
      <w:pPr>
        <w:pStyle w:val="63"/>
        <w:ind w:firstLine="420"/>
      </w:pPr>
      <w:r>
        <w:t>钢管</w:t>
      </w:r>
      <w:r>
        <w:rPr>
          <w:rFonts w:hint="eastAsia"/>
        </w:rPr>
        <w:t>混凝土柱应分层安装、分层浇筑混凝土，对钢管安装后，再进行的混凝土浇筑，必须采取有效的控制措施和方案，防止混凝土浇筑对钢管柱产生的初应力和影响混凝土的质量。</w:t>
      </w:r>
    </w:p>
    <w:p>
      <w:pPr>
        <w:pStyle w:val="63"/>
        <w:ind w:firstLine="420"/>
      </w:pPr>
      <w:r>
        <w:t>为使</w:t>
      </w:r>
      <w:r>
        <w:rPr>
          <w:rFonts w:hint="eastAsia"/>
        </w:rPr>
        <w:t>钢管内混凝土的水分不散失，要将管口及顶升口等进行保湿封闭。由于混凝土的水分不易散失，混凝土受冻后体积膨胀会使钢管在胀力的作用下开裂，从而造成严重的质量事故。国内已有此类问题发生。因此，钢管内混凝土浇筑宜避免冬期施工，如无法避免时，混凝土浇筑时应有严格的冬期施工措施。</w:t>
      </w:r>
    </w:p>
    <w:p>
      <w:pPr>
        <w:pStyle w:val="109"/>
        <w:numPr>
          <w:ilvl w:val="0"/>
          <w:numId w:val="0"/>
        </w:numPr>
        <w:spacing w:before="0" w:beforeLines="0" w:after="0" w:afterLines="0"/>
        <w:textAlignment w:val="center"/>
        <w:outlineLvl w:val="2"/>
        <w:rPr>
          <w:rFonts w:ascii="Times New Roman" w:eastAsia="宋体"/>
        </w:rPr>
      </w:pPr>
      <w:bookmarkStart w:id="506" w:name="_Toc185523679"/>
      <w:bookmarkStart w:id="507" w:name="_Toc186641638"/>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16</w:t>
      </w:r>
      <w:r>
        <w:rPr>
          <w:rFonts w:hint="eastAsia" w:ascii="Times New Roman" w:eastAsia="宋体"/>
          <w:color w:val="000000"/>
        </w:rPr>
        <w:t>　</w:t>
      </w:r>
      <w:r>
        <w:rPr>
          <w:rFonts w:hint="eastAsia" w:ascii="Times New Roman" w:eastAsia="宋体"/>
        </w:rPr>
        <w:t>本条规定管内混凝土浇筑前应对钢管安装质量进行确认，并应检查钢管内壁干净、无油污、尘土杂物等，符合后再浇筑混凝土。浇筑后应对管口进行封闭，防止水等杂物进入。混凝土浇筑后不得再对钢管进行任何调整。</w:t>
      </w:r>
      <w:bookmarkEnd w:id="506"/>
      <w:bookmarkEnd w:id="507"/>
    </w:p>
    <w:p>
      <w:pPr>
        <w:pStyle w:val="109"/>
        <w:numPr>
          <w:ilvl w:val="0"/>
          <w:numId w:val="0"/>
        </w:numPr>
        <w:spacing w:before="0" w:beforeLines="0" w:after="0" w:afterLines="0"/>
        <w:textAlignment w:val="center"/>
        <w:outlineLvl w:val="2"/>
        <w:rPr>
          <w:rFonts w:ascii="宋体" w:hAnsi="宋体" w:eastAsia="宋体"/>
          <w:color w:val="000000"/>
        </w:rPr>
      </w:pPr>
      <w:bookmarkStart w:id="508" w:name="_Toc185523680"/>
      <w:bookmarkStart w:id="509" w:name="_Toc186641639"/>
      <w:r>
        <w:rPr>
          <w:rFonts w:hAnsi="宋体"/>
          <w:color w:val="000000"/>
        </w:rPr>
        <w:t>13</w:t>
      </w:r>
      <w:r>
        <w:rPr>
          <w:rFonts w:hint="eastAsia" w:hAnsi="宋体"/>
          <w:color w:val="000000"/>
        </w:rPr>
        <w:t>.</w:t>
      </w:r>
      <w:r>
        <w:rPr>
          <w:rFonts w:hAnsi="宋体"/>
          <w:color w:val="000000"/>
        </w:rPr>
        <w:t>3</w:t>
      </w:r>
      <w:r>
        <w:rPr>
          <w:rFonts w:hint="eastAsia" w:hAnsi="宋体"/>
          <w:color w:val="000000"/>
        </w:rPr>
        <w:t>.</w:t>
      </w:r>
      <w:r>
        <w:rPr>
          <w:rFonts w:hAnsi="宋体"/>
          <w:color w:val="000000"/>
        </w:rPr>
        <w:t>18</w:t>
      </w:r>
      <w:r>
        <w:rPr>
          <w:rFonts w:hint="eastAsia" w:ascii="Times New Roman" w:eastAsia="宋体"/>
          <w:color w:val="000000"/>
        </w:rPr>
        <w:t>　本条规定钢管混凝土浇筑后，应按设计要求做好浇筑孔、顶升孔、排气孔补洞处理，其使用的补洞钢材、焊缝高度、厚度、表面清理及防腐处理等应符合专项施工方案的规定。</w:t>
      </w:r>
      <w:bookmarkEnd w:id="286"/>
      <w:bookmarkEnd w:id="508"/>
      <w:bookmarkEnd w:id="509"/>
    </w:p>
    <w:p>
      <w:pPr>
        <w:ind w:firstLine="420"/>
      </w:pPr>
    </w:p>
    <w:sectPr>
      <w:footerReference r:id="rId14" w:type="default"/>
      <w:pgSz w:w="11907" w:h="16839"/>
      <w:pgMar w:top="1418" w:right="1134" w:bottom="1134" w:left="1418" w:header="851" w:footer="992" w:gutter="0"/>
      <w:pgNumType w:start="1"/>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Arial">
    <w:altName w:val="DejaVu Sans"/>
    <w:panose1 w:val="020B0604020202020204"/>
    <w:charset w:val="00"/>
    <w:family w:val="swiss"/>
    <w:pitch w:val="default"/>
    <w:sig w:usb0="00000000" w:usb1="00000000" w:usb2="00000009" w:usb3="00000000" w:csb0="000001FF" w:csb1="00000000"/>
  </w:font>
  <w:font w:name="Cambria Math">
    <w:altName w:val="DejaVu Math TeX Gyre"/>
    <w:panose1 w:val="02040503050406030204"/>
    <w:charset w:val="00"/>
    <w:family w:val="roman"/>
    <w:pitch w:val="default"/>
    <w:sig w:usb0="00000000" w:usb1="00000000" w:usb2="02000000"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 w:name="Noto Sans CJK JP Bold">
    <w:panose1 w:val="020B0800000000000000"/>
    <w:charset w:val="86"/>
    <w:family w:val="auto"/>
    <w:pitch w:val="default"/>
    <w:sig w:usb0="30000003" w:usb1="2BDF3C10" w:usb2="00000016" w:usb3="00000000" w:csb0="602E0107"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6"/>
    </w:pPr>
    <w:r>
      <w:fldChar w:fldCharType="begin"/>
    </w:r>
    <w:r>
      <w:instrText xml:space="preserve">PAGE   \* MERGEFORMAT</w:instrText>
    </w:r>
    <w:r>
      <w:fldChar w:fldCharType="separate"/>
    </w:r>
    <w:r>
      <w:rPr>
        <w:lang w:val="zh-CN"/>
      </w:rPr>
      <w:t>IV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097301"/>
    </w:sdtPr>
    <w:sdtContent>
      <w:p>
        <w:pPr>
          <w:pStyle w:val="21"/>
          <w:ind w:firstLine="360"/>
          <w:jc w:val="center"/>
        </w:pPr>
        <w:r>
          <w:fldChar w:fldCharType="begin"/>
        </w:r>
        <w:r>
          <w:instrText xml:space="preserve">PAGE   \* MERGEFORMAT</w:instrText>
        </w:r>
        <w:r>
          <w:fldChar w:fldCharType="separate"/>
        </w:r>
        <w:r>
          <w:rPr>
            <w:lang w:val="zh-CN"/>
          </w:rPr>
          <w:t>39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wordWrap w:val="0"/>
      <w:ind w:firstLine="36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tabs>
        <w:tab w:val="left" w:pos="1940"/>
        <w:tab w:val="clear" w:pos="4153"/>
        <w:tab w:val="clear" w:pos="8306"/>
      </w:tabs>
      <w:ind w:firstLine="0" w:firstLineChars="0"/>
      <w:jc w:val="both"/>
      <w:rPr>
        <w:sz w:val="2"/>
        <w:szCs w:val="2"/>
      </w:rPr>
    </w:pPr>
    <w:r>
      <w:rPr>
        <w:sz w:val="2"/>
        <w:szCs w:val="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5"/>
      <w:tabs>
        <w:tab w:val="left" w:pos="7785"/>
        <w:tab w:val="clear" w:pos="4154"/>
        <w:tab w:val="clear" w:pos="8306"/>
      </w:tabs>
      <w:ind w:firstLine="7938" w:firstLineChars="3780"/>
      <w:jc w:val="left"/>
    </w:pPr>
    <w:r>
      <w:t>DB42/T XXXX—     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DB42/T XXXX—     </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FD47C"/>
    <w:multiLevelType w:val="singleLevel"/>
    <w:tmpl w:val="81BFD47C"/>
    <w:lvl w:ilvl="0" w:tentative="0">
      <w:start w:val="1"/>
      <w:numFmt w:val="lowerLetter"/>
      <w:lvlText w:val="%1)"/>
      <w:lvlJc w:val="left"/>
      <w:pPr>
        <w:ind w:left="420" w:hanging="420"/>
      </w:pPr>
    </w:lvl>
  </w:abstractNum>
  <w:abstractNum w:abstractNumId="1">
    <w:nsid w:val="C1F28298"/>
    <w:multiLevelType w:val="singleLevel"/>
    <w:tmpl w:val="C1F28298"/>
    <w:lvl w:ilvl="0" w:tentative="0">
      <w:start w:val="1"/>
      <w:numFmt w:val="lowerLetter"/>
      <w:lvlText w:val="%1)"/>
      <w:lvlJc w:val="left"/>
      <w:pPr>
        <w:ind w:left="420" w:hanging="420"/>
      </w:pPr>
      <w:rPr>
        <w:rFonts w:hint="default"/>
      </w:rPr>
    </w:lvl>
  </w:abstractNum>
  <w:abstractNum w:abstractNumId="2">
    <w:nsid w:val="C6EBD468"/>
    <w:multiLevelType w:val="singleLevel"/>
    <w:tmpl w:val="C6EBD468"/>
    <w:lvl w:ilvl="0" w:tentative="0">
      <w:start w:val="1"/>
      <w:numFmt w:val="lowerLetter"/>
      <w:lvlText w:val="%1)"/>
      <w:lvlJc w:val="left"/>
      <w:pPr>
        <w:ind w:left="420" w:hanging="420"/>
      </w:pPr>
      <w:rPr>
        <w:rFonts w:hint="default"/>
      </w:rPr>
    </w:lvl>
  </w:abstractNum>
  <w:abstractNum w:abstractNumId="3">
    <w:nsid w:val="D3E7DCED"/>
    <w:multiLevelType w:val="singleLevel"/>
    <w:tmpl w:val="D3E7DCED"/>
    <w:lvl w:ilvl="0" w:tentative="0">
      <w:start w:val="1"/>
      <w:numFmt w:val="lowerLetter"/>
      <w:lvlText w:val="%1)"/>
      <w:lvlJc w:val="left"/>
      <w:pPr>
        <w:ind w:left="420" w:hanging="420"/>
      </w:pPr>
      <w:rPr>
        <w:rFonts w:hint="default"/>
      </w:rPr>
    </w:lvl>
  </w:abstractNum>
  <w:abstractNum w:abstractNumId="4">
    <w:nsid w:val="E02AE27F"/>
    <w:multiLevelType w:val="singleLevel"/>
    <w:tmpl w:val="E02AE27F"/>
    <w:lvl w:ilvl="0" w:tentative="0">
      <w:start w:val="1"/>
      <w:numFmt w:val="lowerLetter"/>
      <w:lvlText w:val="%1)"/>
      <w:lvlJc w:val="left"/>
      <w:pPr>
        <w:ind w:left="420" w:hanging="420"/>
      </w:pPr>
      <w:rPr>
        <w:rFonts w:hint="default" w:ascii="Times New Roman" w:hAnsi="Times New Roman" w:cs="Times New Roman"/>
      </w:rPr>
    </w:lvl>
  </w:abstractNum>
  <w:abstractNum w:abstractNumId="5">
    <w:nsid w:val="FCF0F6DB"/>
    <w:multiLevelType w:val="singleLevel"/>
    <w:tmpl w:val="FCF0F6DB"/>
    <w:lvl w:ilvl="0" w:tentative="0">
      <w:start w:val="1"/>
      <w:numFmt w:val="lowerLetter"/>
      <w:lvlText w:val="%1)"/>
      <w:lvlJc w:val="left"/>
      <w:pPr>
        <w:ind w:left="420" w:hanging="420"/>
      </w:pPr>
      <w:rPr>
        <w:rFonts w:hint="default"/>
      </w:rPr>
    </w:lvl>
  </w:abstractNum>
  <w:abstractNum w:abstractNumId="6">
    <w:nsid w:val="0079A71C"/>
    <w:multiLevelType w:val="singleLevel"/>
    <w:tmpl w:val="0079A71C"/>
    <w:lvl w:ilvl="0" w:tentative="0">
      <w:start w:val="1"/>
      <w:numFmt w:val="lowerLetter"/>
      <w:lvlText w:val="%1)"/>
      <w:lvlJc w:val="left"/>
      <w:pPr>
        <w:ind w:left="420" w:hanging="420"/>
      </w:pPr>
      <w:rPr>
        <w:rFonts w:hint="default"/>
      </w:rPr>
    </w:lvl>
  </w:abstractNum>
  <w:abstractNum w:abstractNumId="7">
    <w:nsid w:val="01844767"/>
    <w:multiLevelType w:val="singleLevel"/>
    <w:tmpl w:val="01844767"/>
    <w:lvl w:ilvl="0" w:tentative="0">
      <w:start w:val="1"/>
      <w:numFmt w:val="lowerLetter"/>
      <w:lvlText w:val="%1)"/>
      <w:lvlJc w:val="left"/>
      <w:pPr>
        <w:ind w:left="420" w:hanging="420"/>
      </w:pPr>
      <w:rPr>
        <w:rFonts w:hint="default"/>
      </w:rPr>
    </w:lvl>
  </w:abstractNum>
  <w:abstractNum w:abstractNumId="8">
    <w:nsid w:val="03EB804B"/>
    <w:multiLevelType w:val="singleLevel"/>
    <w:tmpl w:val="03EB804B"/>
    <w:lvl w:ilvl="0" w:tentative="0">
      <w:start w:val="1"/>
      <w:numFmt w:val="lowerLetter"/>
      <w:lvlText w:val="%1)"/>
      <w:lvlJc w:val="left"/>
      <w:pPr>
        <w:ind w:left="420" w:hanging="420"/>
      </w:pPr>
      <w:rPr>
        <w:rFonts w:hint="default"/>
      </w:rPr>
    </w:lvl>
  </w:abstractNum>
  <w:abstractNum w:abstractNumId="9">
    <w:nsid w:val="053A322A"/>
    <w:multiLevelType w:val="multilevel"/>
    <w:tmpl w:val="053A322A"/>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7ED3FEA"/>
    <w:multiLevelType w:val="multilevel"/>
    <w:tmpl w:val="07ED3FEA"/>
    <w:lvl w:ilvl="0" w:tentative="0">
      <w:start w:val="1"/>
      <w:numFmt w:val="none"/>
      <w:pStyle w:val="81"/>
      <w:lvlText w:val="%1"/>
      <w:lvlJc w:val="left"/>
      <w:pPr>
        <w:ind w:left="425" w:hanging="425"/>
      </w:pPr>
      <w:rPr>
        <w:rFonts w:hint="eastAsia"/>
      </w:rPr>
    </w:lvl>
    <w:lvl w:ilvl="1" w:tentative="0">
      <w:start w:val="1"/>
      <w:numFmt w:val="decimal"/>
      <w:pStyle w:val="82"/>
      <w:suff w:val="nothing"/>
      <w:lvlText w:val="%10.%2 "/>
      <w:lvlJc w:val="left"/>
      <w:pPr>
        <w:ind w:left="0" w:firstLine="0"/>
      </w:pPr>
      <w:rPr>
        <w:rFonts w:hint="eastAsia" w:ascii="黑体" w:eastAsia="黑体" w:hAnsiTheme="minorHAnsi"/>
        <w:b w:val="0"/>
        <w:i w:val="0"/>
        <w:sz w:val="21"/>
      </w:rPr>
    </w:lvl>
    <w:lvl w:ilvl="2" w:tentative="0">
      <w:start w:val="1"/>
      <w:numFmt w:val="decimal"/>
      <w:suff w:val="nothing"/>
      <w:lvlText w:val="%10.%2.%3 "/>
      <w:lvlJc w:val="left"/>
      <w:pPr>
        <w:ind w:left="0" w:firstLine="0"/>
      </w:pPr>
      <w:rPr>
        <w:rFonts w:hint="eastAsia" w:ascii="黑体" w:eastAsia="黑体" w:hAnsiTheme="minorHAnsi"/>
        <w:b w:val="0"/>
        <w:i w:val="0"/>
        <w:sz w:val="21"/>
      </w:rPr>
    </w:lvl>
    <w:lvl w:ilvl="3" w:tentative="0">
      <w:start w:val="1"/>
      <w:numFmt w:val="decimal"/>
      <w:suff w:val="nothing"/>
      <w:lvlText w:val="%10.%2.%3.%4 "/>
      <w:lvlJc w:val="left"/>
      <w:pPr>
        <w:ind w:left="0" w:firstLine="0"/>
      </w:pPr>
      <w:rPr>
        <w:rFonts w:hint="eastAsia" w:ascii="黑体" w:eastAsia="黑体" w:hAnsiTheme="minorHAnsi"/>
        <w:b w:val="0"/>
        <w:i w:val="0"/>
        <w:sz w:val="21"/>
      </w:rPr>
    </w:lvl>
    <w:lvl w:ilvl="4" w:tentative="0">
      <w:start w:val="1"/>
      <w:numFmt w:val="decimal"/>
      <w:suff w:val="nothing"/>
      <w:lvlText w:val="%10.%2.%3.%4.%5 "/>
      <w:lvlJc w:val="left"/>
      <w:pPr>
        <w:ind w:left="0" w:firstLine="0"/>
      </w:pPr>
      <w:rPr>
        <w:rFonts w:hint="eastAsia" w:ascii="黑体" w:eastAsia="黑体" w:hAnsiTheme="minorHAnsi"/>
        <w:b w:val="0"/>
        <w:i w:val="0"/>
        <w:sz w:val="21"/>
      </w:rPr>
    </w:lvl>
    <w:lvl w:ilvl="5" w:tentative="0">
      <w:start w:val="1"/>
      <w:numFmt w:val="decimal"/>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0F45B53B"/>
    <w:multiLevelType w:val="singleLevel"/>
    <w:tmpl w:val="0F45B53B"/>
    <w:lvl w:ilvl="0" w:tentative="0">
      <w:start w:val="1"/>
      <w:numFmt w:val="lowerLetter"/>
      <w:lvlText w:val="%1)"/>
      <w:lvlJc w:val="left"/>
      <w:pPr>
        <w:ind w:left="420" w:hanging="420"/>
      </w:pPr>
      <w:rPr>
        <w:rFonts w:hint="default"/>
      </w:rPr>
    </w:lvl>
  </w:abstractNum>
  <w:abstractNum w:abstractNumId="12">
    <w:nsid w:val="0FAB578D"/>
    <w:multiLevelType w:val="multilevel"/>
    <w:tmpl w:val="0FAB578D"/>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A206182"/>
    <w:multiLevelType w:val="multilevel"/>
    <w:tmpl w:val="1A206182"/>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1242158"/>
    <w:multiLevelType w:val="multilevel"/>
    <w:tmpl w:val="21242158"/>
    <w:lvl w:ilvl="0" w:tentative="0">
      <w:start w:val="1"/>
      <w:numFmt w:val="lowerLetter"/>
      <w:lvlText w:val="%1)"/>
      <w:lvlJc w:val="left"/>
      <w:pPr>
        <w:ind w:left="1049" w:hanging="420"/>
      </w:pPr>
      <w:rPr>
        <w:rFonts w:hint="default"/>
      </w:rPr>
    </w:lvl>
    <w:lvl w:ilvl="1" w:tentative="0">
      <w:start w:val="1"/>
      <w:numFmt w:val="lowerLetter"/>
      <w:lvlText w:val="%2)"/>
      <w:lvlJc w:val="left"/>
      <w:pPr>
        <w:ind w:left="1469" w:hanging="420"/>
      </w:pPr>
    </w:lvl>
    <w:lvl w:ilvl="2" w:tentative="0">
      <w:start w:val="1"/>
      <w:numFmt w:val="lowerRoman"/>
      <w:lvlText w:val="%3."/>
      <w:lvlJc w:val="right"/>
      <w:pPr>
        <w:ind w:left="1889" w:hanging="420"/>
      </w:pPr>
    </w:lvl>
    <w:lvl w:ilvl="3" w:tentative="0">
      <w:start w:val="1"/>
      <w:numFmt w:val="decimal"/>
      <w:lvlText w:val="%4."/>
      <w:lvlJc w:val="left"/>
      <w:pPr>
        <w:ind w:left="2309" w:hanging="420"/>
      </w:pPr>
    </w:lvl>
    <w:lvl w:ilvl="4" w:tentative="0">
      <w:start w:val="1"/>
      <w:numFmt w:val="lowerLetter"/>
      <w:lvlText w:val="%5)"/>
      <w:lvlJc w:val="left"/>
      <w:pPr>
        <w:ind w:left="2729" w:hanging="420"/>
      </w:pPr>
    </w:lvl>
    <w:lvl w:ilvl="5" w:tentative="0">
      <w:start w:val="1"/>
      <w:numFmt w:val="lowerRoman"/>
      <w:lvlText w:val="%6."/>
      <w:lvlJc w:val="right"/>
      <w:pPr>
        <w:ind w:left="3149" w:hanging="420"/>
      </w:pPr>
    </w:lvl>
    <w:lvl w:ilvl="6" w:tentative="0">
      <w:start w:val="1"/>
      <w:numFmt w:val="decimal"/>
      <w:lvlText w:val="%7."/>
      <w:lvlJc w:val="left"/>
      <w:pPr>
        <w:ind w:left="3569" w:hanging="420"/>
      </w:pPr>
    </w:lvl>
    <w:lvl w:ilvl="7" w:tentative="0">
      <w:start w:val="1"/>
      <w:numFmt w:val="lowerLetter"/>
      <w:lvlText w:val="%8)"/>
      <w:lvlJc w:val="left"/>
      <w:pPr>
        <w:ind w:left="3989" w:hanging="420"/>
      </w:pPr>
    </w:lvl>
    <w:lvl w:ilvl="8" w:tentative="0">
      <w:start w:val="1"/>
      <w:numFmt w:val="lowerRoman"/>
      <w:lvlText w:val="%9."/>
      <w:lvlJc w:val="right"/>
      <w:pPr>
        <w:ind w:left="4409" w:hanging="420"/>
      </w:pPr>
    </w:lvl>
  </w:abstractNum>
  <w:abstractNum w:abstractNumId="15">
    <w:nsid w:val="22A86505"/>
    <w:multiLevelType w:val="singleLevel"/>
    <w:tmpl w:val="22A86505"/>
    <w:lvl w:ilvl="0" w:tentative="0">
      <w:start w:val="1"/>
      <w:numFmt w:val="decimal"/>
      <w:lvlText w:val="%1"/>
      <w:lvlJc w:val="left"/>
      <w:pPr>
        <w:tabs>
          <w:tab w:val="left" w:pos="420"/>
        </w:tabs>
        <w:ind w:left="425" w:hanging="425"/>
      </w:pPr>
      <w:rPr>
        <w:rFonts w:hint="default"/>
      </w:rPr>
    </w:lvl>
  </w:abstractNum>
  <w:abstractNum w:abstractNumId="16">
    <w:nsid w:val="245F0758"/>
    <w:multiLevelType w:val="multilevel"/>
    <w:tmpl w:val="245F0758"/>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F78D5C4"/>
    <w:multiLevelType w:val="singleLevel"/>
    <w:tmpl w:val="2F78D5C4"/>
    <w:lvl w:ilvl="0" w:tentative="0">
      <w:start w:val="1"/>
      <w:numFmt w:val="lowerLetter"/>
      <w:lvlText w:val="%1)"/>
      <w:lvlJc w:val="left"/>
      <w:pPr>
        <w:ind w:left="420" w:hanging="420"/>
      </w:pPr>
      <w:rPr>
        <w:rFonts w:hint="default"/>
      </w:rPr>
    </w:lvl>
  </w:abstractNum>
  <w:abstractNum w:abstractNumId="18">
    <w:nsid w:val="33A04374"/>
    <w:multiLevelType w:val="multilevel"/>
    <w:tmpl w:val="33A04374"/>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4490071"/>
    <w:multiLevelType w:val="multilevel"/>
    <w:tmpl w:val="34490071"/>
    <w:lvl w:ilvl="0" w:tentative="0">
      <w:start w:val="1"/>
      <w:numFmt w:val="decimal"/>
      <w:pStyle w:val="120"/>
      <w:suff w:val="space"/>
      <w:lvlText w:val="%1."/>
      <w:lvlJc w:val="left"/>
      <w:pPr>
        <w:ind w:left="0" w:firstLine="0"/>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0">
    <w:nsid w:val="38072998"/>
    <w:multiLevelType w:val="multilevel"/>
    <w:tmpl w:val="38072998"/>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B4C22B0"/>
    <w:multiLevelType w:val="multilevel"/>
    <w:tmpl w:val="3B4C22B0"/>
    <w:lvl w:ilvl="0" w:tentative="0">
      <w:start w:val="1"/>
      <w:numFmt w:val="lowerLetter"/>
      <w:lvlText w:val="%1)"/>
      <w:lvlJc w:val="left"/>
      <w:pPr>
        <w:ind w:left="1050" w:hanging="4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2">
    <w:nsid w:val="3C3156D8"/>
    <w:multiLevelType w:val="multilevel"/>
    <w:tmpl w:val="3C3156D8"/>
    <w:lvl w:ilvl="0" w:tentative="0">
      <w:start w:val="6"/>
      <w:numFmt w:val="decimal"/>
      <w:pStyle w:val="79"/>
      <w:lvlText w:val="%1"/>
      <w:lvlJc w:val="left"/>
      <w:pPr>
        <w:ind w:left="420" w:hanging="420"/>
      </w:pPr>
      <w:rPr>
        <w:rFonts w:hint="eastAsia" w:ascii="宋体" w:hAnsi="宋体" w:eastAsia="宋体" w:cs="Times New Roman"/>
        <w:b/>
        <w:i w:val="0"/>
        <w:sz w:val="28"/>
      </w:rPr>
    </w:lvl>
    <w:lvl w:ilvl="1" w:tentative="0">
      <w:start w:val="2"/>
      <w:numFmt w:val="decimal"/>
      <w:isLgl/>
      <w:lvlText w:val="%1.%2"/>
      <w:lvlJc w:val="left"/>
      <w:pPr>
        <w:ind w:left="630" w:hanging="630"/>
      </w:pPr>
      <w:rPr>
        <w:rFonts w:hint="eastAsia"/>
      </w:rPr>
    </w:lvl>
    <w:lvl w:ilvl="2" w:tentative="0">
      <w:start w:val="8"/>
      <w:numFmt w:val="decimal"/>
      <w:isLgl/>
      <w:lvlText w:val="%1.%2.%3"/>
      <w:lvlJc w:val="left"/>
      <w:pPr>
        <w:ind w:left="720" w:hanging="720"/>
      </w:pPr>
      <w:rPr>
        <w:rFonts w:hint="eastAsia" w:ascii="宋体" w:hAnsi="宋体" w:eastAsia="宋体"/>
        <w:b/>
      </w:rPr>
    </w:lvl>
    <w:lvl w:ilvl="3" w:tentative="0">
      <w:start w:val="1"/>
      <w:numFmt w:val="decimal"/>
      <w:isLgl/>
      <w:lvlText w:val="%1.%2.%3.%4"/>
      <w:lvlJc w:val="left"/>
      <w:pPr>
        <w:ind w:left="720" w:hanging="720"/>
      </w:pPr>
      <w:rPr>
        <w:rFonts w:hint="eastAsia"/>
      </w:rPr>
    </w:lvl>
    <w:lvl w:ilvl="4" w:tentative="0">
      <w:start w:val="1"/>
      <w:numFmt w:val="decimal"/>
      <w:isLgl/>
      <w:lvlText w:val="%1.%2.%3.%4.%5"/>
      <w:lvlJc w:val="left"/>
      <w:pPr>
        <w:ind w:left="1080" w:hanging="1080"/>
      </w:pPr>
      <w:rPr>
        <w:rFonts w:hint="eastAsia"/>
      </w:rPr>
    </w:lvl>
    <w:lvl w:ilvl="5" w:tentative="0">
      <w:start w:val="1"/>
      <w:numFmt w:val="decimal"/>
      <w:isLgl/>
      <w:lvlText w:val="%1.%2.%3.%4.%5.%6"/>
      <w:lvlJc w:val="left"/>
      <w:pPr>
        <w:ind w:left="1080" w:hanging="1080"/>
      </w:pPr>
      <w:rPr>
        <w:rFonts w:hint="eastAsia"/>
      </w:rPr>
    </w:lvl>
    <w:lvl w:ilvl="6" w:tentative="0">
      <w:start w:val="1"/>
      <w:numFmt w:val="decimal"/>
      <w:isLgl/>
      <w:lvlText w:val="%1.%2.%3.%4.%5.%6.%7"/>
      <w:lvlJc w:val="left"/>
      <w:pPr>
        <w:ind w:left="1080" w:hanging="1080"/>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440" w:hanging="1440"/>
      </w:pPr>
      <w:rPr>
        <w:rFonts w:hint="eastAsia"/>
      </w:rPr>
    </w:lvl>
  </w:abstractNum>
  <w:abstractNum w:abstractNumId="23">
    <w:nsid w:val="3CDD1E61"/>
    <w:multiLevelType w:val="multilevel"/>
    <w:tmpl w:val="3CDD1E61"/>
    <w:lvl w:ilvl="0" w:tentative="0">
      <w:start w:val="1"/>
      <w:numFmt w:val="decimal"/>
      <w:pStyle w:val="77"/>
      <w:lvlText w:val="6. %1"/>
      <w:lvlJc w:val="left"/>
      <w:pPr>
        <w:ind w:left="420" w:hanging="420"/>
      </w:pPr>
      <w:rPr>
        <w:rFonts w:hint="eastAsia" w:cs="Times New Roman"/>
        <w:b/>
      </w:rPr>
    </w:lvl>
    <w:lvl w:ilvl="1" w:tentative="0">
      <w:start w:val="1"/>
      <w:numFmt w:val="decimal"/>
      <w:pStyle w:val="108"/>
      <w:lvlText w:val="8. %2"/>
      <w:lvlJc w:val="left"/>
      <w:pPr>
        <w:ind w:left="840" w:hanging="420"/>
      </w:pPr>
      <w:rPr>
        <w:rFonts w:hint="eastAsia" w:cs="Times New Roman"/>
        <w:b/>
      </w:rPr>
    </w:lvl>
    <w:lvl w:ilvl="2" w:tentative="0">
      <w:start w:val="1"/>
      <w:numFmt w:val="lowerRoman"/>
      <w:pStyle w:val="109"/>
      <w:lvlText w:val="%3."/>
      <w:lvlJc w:val="right"/>
      <w:pPr>
        <w:ind w:left="1260" w:hanging="420"/>
      </w:pPr>
      <w:rPr>
        <w:rFonts w:cs="Times New Roman"/>
      </w:rPr>
    </w:lvl>
    <w:lvl w:ilvl="3" w:tentative="0">
      <w:start w:val="1"/>
      <w:numFmt w:val="decimal"/>
      <w:pStyle w:val="107"/>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4">
    <w:nsid w:val="3FFF8898"/>
    <w:multiLevelType w:val="singleLevel"/>
    <w:tmpl w:val="3FFF8898"/>
    <w:lvl w:ilvl="0" w:tentative="0">
      <w:start w:val="1"/>
      <w:numFmt w:val="lowerLetter"/>
      <w:lvlText w:val="%1)"/>
      <w:lvlJc w:val="left"/>
      <w:pPr>
        <w:ind w:left="420" w:hanging="420"/>
      </w:pPr>
      <w:rPr>
        <w:rFonts w:hint="default"/>
      </w:rPr>
    </w:lvl>
  </w:abstractNum>
  <w:abstractNum w:abstractNumId="25">
    <w:nsid w:val="41FBC0EF"/>
    <w:multiLevelType w:val="singleLevel"/>
    <w:tmpl w:val="41FBC0EF"/>
    <w:lvl w:ilvl="0" w:tentative="0">
      <w:start w:val="1"/>
      <w:numFmt w:val="lowerLetter"/>
      <w:lvlText w:val="%1)"/>
      <w:lvlJc w:val="left"/>
      <w:pPr>
        <w:ind w:left="420" w:hanging="420"/>
      </w:pPr>
      <w:rPr>
        <w:rFonts w:hint="default"/>
      </w:rPr>
    </w:lvl>
  </w:abstractNum>
  <w:abstractNum w:abstractNumId="26">
    <w:nsid w:val="47931269"/>
    <w:multiLevelType w:val="multilevel"/>
    <w:tmpl w:val="47931269"/>
    <w:lvl w:ilvl="0" w:tentative="0">
      <w:start w:val="1"/>
      <w:numFmt w:val="lowerLetter"/>
      <w:lvlText w:val="(%1)"/>
      <w:lvlJc w:val="left"/>
      <w:pPr>
        <w:ind w:left="2670" w:hanging="360"/>
      </w:pPr>
      <w:rPr>
        <w:rFonts w:hint="default"/>
      </w:rPr>
    </w:lvl>
    <w:lvl w:ilvl="1" w:tentative="0">
      <w:start w:val="1"/>
      <w:numFmt w:val="lowerLetter"/>
      <w:lvlText w:val="%2)"/>
      <w:lvlJc w:val="left"/>
      <w:pPr>
        <w:ind w:left="3150" w:hanging="420"/>
      </w:pPr>
    </w:lvl>
    <w:lvl w:ilvl="2" w:tentative="0">
      <w:start w:val="1"/>
      <w:numFmt w:val="lowerRoman"/>
      <w:lvlText w:val="%3."/>
      <w:lvlJc w:val="right"/>
      <w:pPr>
        <w:ind w:left="3570" w:hanging="420"/>
      </w:pPr>
    </w:lvl>
    <w:lvl w:ilvl="3" w:tentative="0">
      <w:start w:val="1"/>
      <w:numFmt w:val="decimal"/>
      <w:lvlText w:val="%4."/>
      <w:lvlJc w:val="left"/>
      <w:pPr>
        <w:ind w:left="3990" w:hanging="420"/>
      </w:pPr>
    </w:lvl>
    <w:lvl w:ilvl="4" w:tentative="0">
      <w:start w:val="1"/>
      <w:numFmt w:val="lowerLetter"/>
      <w:lvlText w:val="%5)"/>
      <w:lvlJc w:val="left"/>
      <w:pPr>
        <w:ind w:left="4410" w:hanging="420"/>
      </w:pPr>
    </w:lvl>
    <w:lvl w:ilvl="5" w:tentative="0">
      <w:start w:val="1"/>
      <w:numFmt w:val="lowerRoman"/>
      <w:lvlText w:val="%6."/>
      <w:lvlJc w:val="right"/>
      <w:pPr>
        <w:ind w:left="4830" w:hanging="420"/>
      </w:pPr>
    </w:lvl>
    <w:lvl w:ilvl="6" w:tentative="0">
      <w:start w:val="1"/>
      <w:numFmt w:val="decimal"/>
      <w:lvlText w:val="%7."/>
      <w:lvlJc w:val="left"/>
      <w:pPr>
        <w:ind w:left="5250" w:hanging="420"/>
      </w:pPr>
    </w:lvl>
    <w:lvl w:ilvl="7" w:tentative="0">
      <w:start w:val="1"/>
      <w:numFmt w:val="lowerLetter"/>
      <w:lvlText w:val="%8)"/>
      <w:lvlJc w:val="left"/>
      <w:pPr>
        <w:ind w:left="5670" w:hanging="420"/>
      </w:pPr>
    </w:lvl>
    <w:lvl w:ilvl="8" w:tentative="0">
      <w:start w:val="1"/>
      <w:numFmt w:val="lowerRoman"/>
      <w:lvlText w:val="%9."/>
      <w:lvlJc w:val="right"/>
      <w:pPr>
        <w:ind w:left="6090" w:hanging="420"/>
      </w:pPr>
    </w:lvl>
  </w:abstractNum>
  <w:abstractNum w:abstractNumId="27">
    <w:nsid w:val="4C17ACBB"/>
    <w:multiLevelType w:val="singleLevel"/>
    <w:tmpl w:val="4C17ACBB"/>
    <w:lvl w:ilvl="0" w:tentative="0">
      <w:start w:val="1"/>
      <w:numFmt w:val="lowerLetter"/>
      <w:lvlText w:val="%1)"/>
      <w:lvlJc w:val="left"/>
      <w:pPr>
        <w:ind w:left="420" w:hanging="420"/>
      </w:pPr>
      <w:rPr>
        <w:rFonts w:hint="default"/>
      </w:rPr>
    </w:lvl>
  </w:abstractNum>
  <w:abstractNum w:abstractNumId="28">
    <w:nsid w:val="4FB522B1"/>
    <w:multiLevelType w:val="multilevel"/>
    <w:tmpl w:val="4FB522B1"/>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5603797C"/>
    <w:multiLevelType w:val="multilevel"/>
    <w:tmpl w:val="5603797C"/>
    <w:lvl w:ilvl="0" w:tentative="0">
      <w:start w:val="1"/>
      <w:numFmt w:val="upperLetter"/>
      <w:pStyle w:val="128"/>
      <w:suff w:val="space"/>
      <w:lvlText w:val="%1"/>
      <w:lvlJc w:val="left"/>
      <w:pPr>
        <w:ind w:left="425" w:hanging="425"/>
      </w:pPr>
      <w:rPr>
        <w:rFonts w:hint="eastAsia"/>
      </w:rPr>
    </w:lvl>
    <w:lvl w:ilvl="1" w:tentative="0">
      <w:start w:val="1"/>
      <w:numFmt w:val="decimal"/>
      <w:pStyle w:val="122"/>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56292737"/>
    <w:multiLevelType w:val="multilevel"/>
    <w:tmpl w:val="56292737"/>
    <w:lvl w:ilvl="0" w:tentative="0">
      <w:start w:val="1"/>
      <w:numFmt w:val="lowerLetter"/>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A1944A4"/>
    <w:multiLevelType w:val="singleLevel"/>
    <w:tmpl w:val="5A1944A4"/>
    <w:lvl w:ilvl="0" w:tentative="0">
      <w:start w:val="1"/>
      <w:numFmt w:val="lowerLetter"/>
      <w:lvlText w:val="%1)"/>
      <w:lvlJc w:val="left"/>
      <w:pPr>
        <w:ind w:left="420" w:hanging="420"/>
      </w:pPr>
      <w:rPr>
        <w:rFonts w:hint="default"/>
      </w:rPr>
    </w:lvl>
  </w:abstractNum>
  <w:abstractNum w:abstractNumId="32">
    <w:nsid w:val="611A5CDF"/>
    <w:multiLevelType w:val="multilevel"/>
    <w:tmpl w:val="611A5CDF"/>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57D3FBC"/>
    <w:multiLevelType w:val="multilevel"/>
    <w:tmpl w:val="657D3FBC"/>
    <w:lvl w:ilvl="0" w:tentative="0">
      <w:start w:val="1"/>
      <w:numFmt w:val="upperLetter"/>
      <w:pStyle w:val="121"/>
      <w:suff w:val="nothing"/>
      <w:lvlText w:val="附录%1"/>
      <w:lvlJc w:val="left"/>
      <w:pPr>
        <w:ind w:left="0" w:firstLine="0"/>
      </w:pPr>
      <w:rPr>
        <w:rFonts w:hint="eastAsia"/>
        <w:spacing w:val="100"/>
      </w:rPr>
    </w:lvl>
    <w:lvl w:ilvl="1" w:tentative="0">
      <w:start w:val="1"/>
      <w:numFmt w:val="decimal"/>
      <w:pStyle w:val="123"/>
      <w:suff w:val="nothing"/>
      <w:lvlText w:val="%1.%2　"/>
      <w:lvlJc w:val="left"/>
      <w:pPr>
        <w:ind w:left="0" w:firstLine="0"/>
      </w:pPr>
      <w:rPr>
        <w:rFonts w:hint="eastAsia" w:ascii="黑体" w:eastAsia="黑体"/>
        <w:b w:val="0"/>
        <w:i w:val="0"/>
        <w:sz w:val="21"/>
      </w:rPr>
    </w:lvl>
    <w:lvl w:ilvl="2" w:tentative="0">
      <w:start w:val="1"/>
      <w:numFmt w:val="decimal"/>
      <w:pStyle w:val="124"/>
      <w:suff w:val="nothing"/>
      <w:lvlText w:val="%1.%2.%3　"/>
      <w:lvlJc w:val="left"/>
      <w:pPr>
        <w:ind w:left="0" w:firstLine="0"/>
      </w:pPr>
      <w:rPr>
        <w:rFonts w:hint="eastAsia" w:ascii="黑体" w:eastAsia="黑体"/>
        <w:b w:val="0"/>
        <w:i w:val="0"/>
        <w:sz w:val="21"/>
      </w:rPr>
    </w:lvl>
    <w:lvl w:ilvl="3" w:tentative="0">
      <w:start w:val="1"/>
      <w:numFmt w:val="decimal"/>
      <w:pStyle w:val="125"/>
      <w:suff w:val="nothing"/>
      <w:lvlText w:val="%1.%2.%3.%4　"/>
      <w:lvlJc w:val="left"/>
      <w:pPr>
        <w:ind w:left="0" w:firstLine="0"/>
      </w:pPr>
      <w:rPr>
        <w:rFonts w:hint="eastAsia" w:ascii="黑体" w:eastAsia="黑体"/>
        <w:b w:val="0"/>
        <w:i w:val="0"/>
        <w:sz w:val="21"/>
      </w:rPr>
    </w:lvl>
    <w:lvl w:ilvl="4" w:tentative="0">
      <w:start w:val="1"/>
      <w:numFmt w:val="decimal"/>
      <w:pStyle w:val="126"/>
      <w:suff w:val="nothing"/>
      <w:lvlText w:val="%1.%2.%3.%4.%5　"/>
      <w:lvlJc w:val="left"/>
      <w:pPr>
        <w:ind w:left="0" w:firstLine="0"/>
      </w:pPr>
      <w:rPr>
        <w:rFonts w:hint="eastAsia" w:ascii="黑体" w:eastAsia="黑体"/>
        <w:b w:val="0"/>
        <w:i w:val="0"/>
        <w:sz w:val="21"/>
      </w:rPr>
    </w:lvl>
    <w:lvl w:ilvl="5" w:tentative="0">
      <w:start w:val="1"/>
      <w:numFmt w:val="decimal"/>
      <w:pStyle w:val="12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5C50CEE"/>
    <w:multiLevelType w:val="multilevel"/>
    <w:tmpl w:val="65C50CEE"/>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6">
    <w:nsid w:val="6DD27054"/>
    <w:multiLevelType w:val="singleLevel"/>
    <w:tmpl w:val="6DD27054"/>
    <w:lvl w:ilvl="0" w:tentative="0">
      <w:start w:val="1"/>
      <w:numFmt w:val="lowerLetter"/>
      <w:lvlText w:val="%1)"/>
      <w:lvlJc w:val="left"/>
      <w:pPr>
        <w:ind w:left="420" w:hanging="420"/>
      </w:pPr>
      <w:rPr>
        <w:rFonts w:hint="default"/>
      </w:rPr>
    </w:lvl>
  </w:abstractNum>
  <w:abstractNum w:abstractNumId="37">
    <w:nsid w:val="716B545C"/>
    <w:multiLevelType w:val="multilevel"/>
    <w:tmpl w:val="716B545C"/>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8094316"/>
    <w:multiLevelType w:val="multilevel"/>
    <w:tmpl w:val="78094316"/>
    <w:lvl w:ilvl="0" w:tentative="0">
      <w:start w:val="1"/>
      <w:numFmt w:val="decimal"/>
      <w:pStyle w:val="2"/>
      <w:suff w:val="space"/>
      <w:lvlText w:val="%1 "/>
      <w:lvlJc w:val="left"/>
      <w:pPr>
        <w:ind w:left="0" w:firstLine="0"/>
      </w:pPr>
      <w:rPr>
        <w:rFonts w:hint="default"/>
        <w:i w:val="0"/>
        <w:iCs w:val="0"/>
        <w:caps w:val="0"/>
        <w:smallCaps w:val="0"/>
        <w:strike w:val="0"/>
        <w:dstrike w:val="0"/>
        <w:outline w:val="0"/>
        <w:shadow w:val="0"/>
        <w:emboss w:val="0"/>
        <w:imprint w:val="0"/>
        <w:vanish w:val="0"/>
        <w:color w:val="auto"/>
        <w:spacing w:val="0"/>
        <w:position w:val="0"/>
        <w:u w:val="none"/>
        <w:vertAlign w:val="baseline"/>
        <w14:ligatures w14:val="none"/>
        <w14:numForm w14:val="default"/>
        <w14:numSpacing w14:val="default"/>
      </w:rPr>
    </w:lvl>
    <w:lvl w:ilvl="1" w:tentative="0">
      <w:start w:val="1"/>
      <w:numFmt w:val="decimal"/>
      <w:pStyle w:val="3"/>
      <w:suff w:val="space"/>
      <w:lvlText w:val="%1.%2 "/>
      <w:lvlJc w:val="left"/>
      <w:pPr>
        <w:ind w:left="0" w:firstLine="0"/>
      </w:pPr>
      <w:rPr>
        <w:rFonts w:hint="default" w:ascii="黑体" w:hAnsi="黑体" w:eastAsia="黑体"/>
        <w:b w:val="0"/>
        <w:bCs/>
      </w:rPr>
    </w:lvl>
    <w:lvl w:ilvl="2" w:tentative="0">
      <w:start w:val="1"/>
      <w:numFmt w:val="decimal"/>
      <w:pStyle w:val="4"/>
      <w:suff w:val="space"/>
      <w:lvlText w:val="%1.%2.%3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vanish w:val="0"/>
        <w:color w:val="auto"/>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5"/>
      <w:suff w:val="space"/>
      <w:lvlText w:val="%1.%2.%3.%4 "/>
      <w:lvlJc w:val="left"/>
      <w:pPr>
        <w:ind w:left="0" w:firstLine="0"/>
      </w:pPr>
      <w:rPr>
        <w:rFonts w:hint="eastAsia" w:ascii="黑体" w:hAnsi="黑体" w:eastAsia="黑体"/>
        <w:color w:val="auto"/>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39">
    <w:nsid w:val="791A3A5D"/>
    <w:multiLevelType w:val="singleLevel"/>
    <w:tmpl w:val="791A3A5D"/>
    <w:lvl w:ilvl="0" w:tentative="0">
      <w:start w:val="1"/>
      <w:numFmt w:val="lowerLetter"/>
      <w:lvlText w:val="%1)"/>
      <w:lvlJc w:val="left"/>
      <w:pPr>
        <w:ind w:left="420" w:hanging="420"/>
      </w:pPr>
      <w:rPr>
        <w:rFonts w:hint="default"/>
      </w:rPr>
    </w:lvl>
  </w:abstractNum>
  <w:abstractNum w:abstractNumId="40">
    <w:nsid w:val="7A956C38"/>
    <w:multiLevelType w:val="singleLevel"/>
    <w:tmpl w:val="7A956C38"/>
    <w:lvl w:ilvl="0" w:tentative="0">
      <w:start w:val="1"/>
      <w:numFmt w:val="lowerLetter"/>
      <w:lvlText w:val="%1)"/>
      <w:lvlJc w:val="left"/>
      <w:pPr>
        <w:ind w:left="420" w:hanging="420"/>
      </w:pPr>
      <w:rPr>
        <w:rFonts w:hint="default"/>
      </w:rPr>
    </w:lvl>
  </w:abstractNum>
  <w:num w:numId="1">
    <w:abstractNumId w:val="38"/>
  </w:num>
  <w:num w:numId="2">
    <w:abstractNumId w:val="23"/>
  </w:num>
  <w:num w:numId="3">
    <w:abstractNumId w:val="22"/>
  </w:num>
  <w:num w:numId="4">
    <w:abstractNumId w:val="10"/>
  </w:num>
  <w:num w:numId="5">
    <w:abstractNumId w:val="35"/>
  </w:num>
  <w:num w:numId="6">
    <w:abstractNumId w:val="19"/>
  </w:num>
  <w:num w:numId="7">
    <w:abstractNumId w:val="33"/>
  </w:num>
  <w:num w:numId="8">
    <w:abstractNumId w:val="29"/>
  </w:num>
  <w:num w:numId="9">
    <w:abstractNumId w:val="40"/>
  </w:num>
  <w:num w:numId="10">
    <w:abstractNumId w:val="4"/>
  </w:num>
  <w:num w:numId="11">
    <w:abstractNumId w:val="2"/>
  </w:num>
  <w:num w:numId="12">
    <w:abstractNumId w:val="25"/>
  </w:num>
  <w:num w:numId="13">
    <w:abstractNumId w:val="3"/>
  </w:num>
  <w:num w:numId="14">
    <w:abstractNumId w:val="5"/>
  </w:num>
  <w:num w:numId="15">
    <w:abstractNumId w:val="36"/>
  </w:num>
  <w:num w:numId="16">
    <w:abstractNumId w:val="39"/>
  </w:num>
  <w:num w:numId="17">
    <w:abstractNumId w:val="6"/>
  </w:num>
  <w:num w:numId="18">
    <w:abstractNumId w:val="1"/>
  </w:num>
  <w:num w:numId="19">
    <w:abstractNumId w:val="27"/>
  </w:num>
  <w:num w:numId="20">
    <w:abstractNumId w:val="24"/>
  </w:num>
  <w:num w:numId="21">
    <w:abstractNumId w:val="31"/>
  </w:num>
  <w:num w:numId="22">
    <w:abstractNumId w:val="37"/>
  </w:num>
  <w:num w:numId="23">
    <w:abstractNumId w:val="9"/>
  </w:num>
  <w:num w:numId="24">
    <w:abstractNumId w:val="15"/>
  </w:num>
  <w:num w:numId="25">
    <w:abstractNumId w:val="18"/>
  </w:num>
  <w:num w:numId="26">
    <w:abstractNumId w:val="11"/>
  </w:num>
  <w:num w:numId="27">
    <w:abstractNumId w:val="28"/>
  </w:num>
  <w:num w:numId="28">
    <w:abstractNumId w:val="38"/>
    <w:lvlOverride w:ilvl="0">
      <w:lvl w:ilvl="0" w:tentative="1">
        <w:start w:val="1"/>
        <w:numFmt w:val="decimal"/>
        <w:suff w:val="space"/>
        <w:lvlText w:val="%1"/>
        <w:lvlJc w:val="left"/>
        <w:pPr>
          <w:ind w:left="0" w:firstLine="0"/>
        </w:pPr>
        <w:rPr>
          <w:rFonts w:hint="default"/>
          <w:i w:val="0"/>
          <w:iCs w:val="0"/>
          <w:caps w:val="0"/>
          <w:smallCaps w:val="0"/>
          <w:strike w:val="0"/>
          <w:dstrike w:val="0"/>
          <w:outline w:val="0"/>
          <w:shadow w:val="0"/>
          <w:emboss w:val="0"/>
          <w:imprint w:val="0"/>
          <w:vanish w:val="0"/>
          <w:color w:val="auto"/>
          <w:spacing w:val="0"/>
          <w:position w:val="0"/>
          <w:u w:val="none"/>
          <w:vertAlign w:val="baseline"/>
          <w14:ligatures w14:val="none"/>
          <w14:numForm w14:val="default"/>
          <w14:numSpacing w14:val="default"/>
        </w:rPr>
      </w:lvl>
    </w:lvlOverride>
    <w:lvlOverride w:ilvl="1">
      <w:lvl w:ilvl="1" w:tentative="1">
        <w:start w:val="1"/>
        <w:numFmt w:val="decimal"/>
        <w:suff w:val="space"/>
        <w:lvlText w:val="%1.%2"/>
        <w:lvlJc w:val="left"/>
        <w:pPr>
          <w:ind w:left="0" w:firstLine="0"/>
        </w:pPr>
        <w:rPr>
          <w:rFonts w:hint="default" w:ascii="黑体" w:hAnsi="黑体" w:eastAsia="黑体"/>
          <w:b w:val="0"/>
          <w:bCs/>
        </w:rPr>
      </w:lvl>
    </w:lvlOverride>
    <w:lvlOverride w:ilvl="2">
      <w:lvl w:ilvl="2" w:tentative="1">
        <w:start w:val="1"/>
        <w:numFmt w:val="decimal"/>
        <w:suff w:val="space"/>
        <w:lvlText w:val="%1.%2.%3"/>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vanish w:val="0"/>
          <w:color w:val="auto"/>
          <w:spacing w:val="0"/>
          <w:position w:val="0"/>
          <w:u w:val="none"/>
          <w:vertAlign w:val="baseline"/>
          <w14:ligatures w14:val="none"/>
          <w14:numForm w14:val="default"/>
          <w14:numSpacing w14:val="default"/>
        </w:rPr>
      </w:lvl>
    </w:lvlOverride>
    <w:lvlOverride w:ilvl="3">
      <w:lvl w:ilvl="3" w:tentative="1">
        <w:start w:val="1"/>
        <w:numFmt w:val="decimal"/>
        <w:suff w:val="space"/>
        <w:lvlText w:val="%1.%2.%3.%4 "/>
        <w:lvlJc w:val="left"/>
        <w:pPr>
          <w:ind w:left="0" w:firstLine="0"/>
        </w:pPr>
        <w:rPr>
          <w:rFonts w:hint="eastAsia"/>
          <w:color w:val="auto"/>
        </w:rPr>
      </w:lvl>
    </w:lvlOverride>
    <w:lvlOverride w:ilvl="4">
      <w:lvl w:ilvl="4" w:tentative="1">
        <w:start w:val="1"/>
        <w:numFmt w:val="lowerLetter"/>
        <w:lvlText w:val="%5)"/>
        <w:lvlJc w:val="left"/>
        <w:pPr>
          <w:ind w:left="0" w:firstLine="0"/>
        </w:pPr>
        <w:rPr>
          <w:rFonts w:hint="eastAsia"/>
        </w:rPr>
      </w:lvl>
    </w:lvlOverride>
    <w:lvlOverride w:ilvl="5">
      <w:lvl w:ilvl="5" w:tentative="1">
        <w:start w:val="1"/>
        <w:numFmt w:val="lowerRoman"/>
        <w:lvlText w:val="%6."/>
        <w:lvlJc w:val="right"/>
        <w:pPr>
          <w:ind w:left="0" w:firstLine="0"/>
        </w:pPr>
        <w:rPr>
          <w:rFonts w:hint="eastAsia"/>
        </w:rPr>
      </w:lvl>
    </w:lvlOverride>
    <w:lvlOverride w:ilvl="6">
      <w:lvl w:ilvl="6" w:tentative="1">
        <w:start w:val="1"/>
        <w:numFmt w:val="decimal"/>
        <w:lvlText w:val="%7."/>
        <w:lvlJc w:val="left"/>
        <w:pPr>
          <w:ind w:left="0" w:firstLine="0"/>
        </w:pPr>
        <w:rPr>
          <w:rFonts w:hint="eastAsia"/>
        </w:rPr>
      </w:lvl>
    </w:lvlOverride>
    <w:lvlOverride w:ilvl="7">
      <w:lvl w:ilvl="7" w:tentative="1">
        <w:start w:val="1"/>
        <w:numFmt w:val="lowerLetter"/>
        <w:lvlText w:val="%8)"/>
        <w:lvlJc w:val="left"/>
        <w:pPr>
          <w:ind w:left="0" w:firstLine="0"/>
        </w:pPr>
        <w:rPr>
          <w:rFonts w:hint="eastAsia"/>
        </w:rPr>
      </w:lvl>
    </w:lvlOverride>
    <w:lvlOverride w:ilvl="8">
      <w:lvl w:ilvl="8" w:tentative="1">
        <w:start w:val="1"/>
        <w:numFmt w:val="lowerRoman"/>
        <w:lvlText w:val="%9."/>
        <w:lvlJc w:val="right"/>
        <w:pPr>
          <w:ind w:left="0" w:firstLine="0"/>
        </w:pPr>
        <w:rPr>
          <w:rFonts w:hint="eastAsia"/>
        </w:rPr>
      </w:lvl>
    </w:lvlOverride>
  </w:num>
  <w:num w:numId="29">
    <w:abstractNumId w:val="30"/>
  </w:num>
  <w:num w:numId="30">
    <w:abstractNumId w:val="7"/>
  </w:num>
  <w:num w:numId="31">
    <w:abstractNumId w:val="8"/>
  </w:num>
  <w:num w:numId="32">
    <w:abstractNumId w:val="17"/>
  </w:num>
  <w:num w:numId="33">
    <w:abstractNumId w:val="0"/>
  </w:num>
  <w:num w:numId="34">
    <w:abstractNumId w:val="16"/>
  </w:num>
  <w:num w:numId="35">
    <w:abstractNumId w:val="13"/>
  </w:num>
  <w:num w:numId="36">
    <w:abstractNumId w:val="12"/>
  </w:num>
  <w:num w:numId="37">
    <w:abstractNumId w:val="34"/>
  </w:num>
  <w:num w:numId="38">
    <w:abstractNumId w:val="21"/>
  </w:num>
  <w:num w:numId="39">
    <w:abstractNumId w:val="14"/>
  </w:num>
  <w:num w:numId="40">
    <w:abstractNumId w:val="32"/>
  </w:num>
  <w:num w:numId="41">
    <w:abstractNumId w:val="2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hideSpellingErrors/>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64D"/>
    <w:rsid w:val="00016419"/>
    <w:rsid w:val="00017D3F"/>
    <w:rsid w:val="00021561"/>
    <w:rsid w:val="00036F39"/>
    <w:rsid w:val="00054230"/>
    <w:rsid w:val="000747D8"/>
    <w:rsid w:val="00080915"/>
    <w:rsid w:val="00080BB3"/>
    <w:rsid w:val="000971E5"/>
    <w:rsid w:val="000A3DAE"/>
    <w:rsid w:val="000D7E53"/>
    <w:rsid w:val="000E757C"/>
    <w:rsid w:val="00101752"/>
    <w:rsid w:val="00136277"/>
    <w:rsid w:val="00141F4A"/>
    <w:rsid w:val="001A08FB"/>
    <w:rsid w:val="001E075A"/>
    <w:rsid w:val="001E7244"/>
    <w:rsid w:val="001F6579"/>
    <w:rsid w:val="00204656"/>
    <w:rsid w:val="0021505B"/>
    <w:rsid w:val="00255AD4"/>
    <w:rsid w:val="00260202"/>
    <w:rsid w:val="00267F15"/>
    <w:rsid w:val="0027113F"/>
    <w:rsid w:val="00281467"/>
    <w:rsid w:val="0028164D"/>
    <w:rsid w:val="00283687"/>
    <w:rsid w:val="00284014"/>
    <w:rsid w:val="002A0967"/>
    <w:rsid w:val="002A4C87"/>
    <w:rsid w:val="002B6680"/>
    <w:rsid w:val="002B6BA1"/>
    <w:rsid w:val="002E4459"/>
    <w:rsid w:val="00304732"/>
    <w:rsid w:val="00320FCE"/>
    <w:rsid w:val="003230FF"/>
    <w:rsid w:val="00324B0E"/>
    <w:rsid w:val="00327209"/>
    <w:rsid w:val="00341DB5"/>
    <w:rsid w:val="003577B0"/>
    <w:rsid w:val="0036445A"/>
    <w:rsid w:val="00381411"/>
    <w:rsid w:val="00386C04"/>
    <w:rsid w:val="00390CFD"/>
    <w:rsid w:val="00392692"/>
    <w:rsid w:val="003A2E29"/>
    <w:rsid w:val="003A2EB9"/>
    <w:rsid w:val="003B6783"/>
    <w:rsid w:val="003C7014"/>
    <w:rsid w:val="00433464"/>
    <w:rsid w:val="00440221"/>
    <w:rsid w:val="00455146"/>
    <w:rsid w:val="00475333"/>
    <w:rsid w:val="00496533"/>
    <w:rsid w:val="004A0823"/>
    <w:rsid w:val="004A7567"/>
    <w:rsid w:val="004B1DD6"/>
    <w:rsid w:val="004B1DDA"/>
    <w:rsid w:val="004B74E8"/>
    <w:rsid w:val="004D2E34"/>
    <w:rsid w:val="00506A11"/>
    <w:rsid w:val="00510430"/>
    <w:rsid w:val="00513028"/>
    <w:rsid w:val="00543658"/>
    <w:rsid w:val="005720EC"/>
    <w:rsid w:val="00591739"/>
    <w:rsid w:val="005D5CAC"/>
    <w:rsid w:val="005E36A7"/>
    <w:rsid w:val="005E6B51"/>
    <w:rsid w:val="00611E3B"/>
    <w:rsid w:val="0062573E"/>
    <w:rsid w:val="00631CF8"/>
    <w:rsid w:val="00687A58"/>
    <w:rsid w:val="006A3042"/>
    <w:rsid w:val="006D7489"/>
    <w:rsid w:val="006E631C"/>
    <w:rsid w:val="006E7FCE"/>
    <w:rsid w:val="00703D38"/>
    <w:rsid w:val="00705276"/>
    <w:rsid w:val="0075406C"/>
    <w:rsid w:val="007560F0"/>
    <w:rsid w:val="0076145A"/>
    <w:rsid w:val="00795977"/>
    <w:rsid w:val="007A3DE4"/>
    <w:rsid w:val="007D147B"/>
    <w:rsid w:val="007D32BB"/>
    <w:rsid w:val="007D7D24"/>
    <w:rsid w:val="007F201C"/>
    <w:rsid w:val="00847D65"/>
    <w:rsid w:val="008709E3"/>
    <w:rsid w:val="008C357F"/>
    <w:rsid w:val="008D3112"/>
    <w:rsid w:val="009019E4"/>
    <w:rsid w:val="0090524E"/>
    <w:rsid w:val="00943610"/>
    <w:rsid w:val="00947E65"/>
    <w:rsid w:val="00951282"/>
    <w:rsid w:val="00980C89"/>
    <w:rsid w:val="0098419C"/>
    <w:rsid w:val="0099574E"/>
    <w:rsid w:val="009A274A"/>
    <w:rsid w:val="009B73BD"/>
    <w:rsid w:val="009D7FF1"/>
    <w:rsid w:val="009F1C87"/>
    <w:rsid w:val="00A25E6B"/>
    <w:rsid w:val="00A34035"/>
    <w:rsid w:val="00A342D6"/>
    <w:rsid w:val="00A56A9B"/>
    <w:rsid w:val="00A572D7"/>
    <w:rsid w:val="00A61CD8"/>
    <w:rsid w:val="00A65D71"/>
    <w:rsid w:val="00AA118F"/>
    <w:rsid w:val="00AA2629"/>
    <w:rsid w:val="00AB4DC8"/>
    <w:rsid w:val="00AE7858"/>
    <w:rsid w:val="00B14E06"/>
    <w:rsid w:val="00B43428"/>
    <w:rsid w:val="00B618C6"/>
    <w:rsid w:val="00B77867"/>
    <w:rsid w:val="00B870E1"/>
    <w:rsid w:val="00B9773B"/>
    <w:rsid w:val="00BA1325"/>
    <w:rsid w:val="00BB7087"/>
    <w:rsid w:val="00BC00A4"/>
    <w:rsid w:val="00BC0212"/>
    <w:rsid w:val="00BD77E6"/>
    <w:rsid w:val="00C07873"/>
    <w:rsid w:val="00C21846"/>
    <w:rsid w:val="00C373D7"/>
    <w:rsid w:val="00C54CAC"/>
    <w:rsid w:val="00C67D4D"/>
    <w:rsid w:val="00C8281A"/>
    <w:rsid w:val="00C856D1"/>
    <w:rsid w:val="00C87806"/>
    <w:rsid w:val="00C935C7"/>
    <w:rsid w:val="00C95E8E"/>
    <w:rsid w:val="00C9719B"/>
    <w:rsid w:val="00CA41C6"/>
    <w:rsid w:val="00CB326F"/>
    <w:rsid w:val="00CE1813"/>
    <w:rsid w:val="00CF376E"/>
    <w:rsid w:val="00CF4232"/>
    <w:rsid w:val="00D133E2"/>
    <w:rsid w:val="00D1455B"/>
    <w:rsid w:val="00D21715"/>
    <w:rsid w:val="00D317BF"/>
    <w:rsid w:val="00D33BD8"/>
    <w:rsid w:val="00D34F60"/>
    <w:rsid w:val="00D47CD4"/>
    <w:rsid w:val="00D61CDF"/>
    <w:rsid w:val="00DB542F"/>
    <w:rsid w:val="00DC59C3"/>
    <w:rsid w:val="00DD3162"/>
    <w:rsid w:val="00DD55DC"/>
    <w:rsid w:val="00E03D6E"/>
    <w:rsid w:val="00E26B93"/>
    <w:rsid w:val="00E3015B"/>
    <w:rsid w:val="00E30FDD"/>
    <w:rsid w:val="00E8764B"/>
    <w:rsid w:val="00E95D34"/>
    <w:rsid w:val="00EB5EB0"/>
    <w:rsid w:val="00ED0795"/>
    <w:rsid w:val="00ED36C3"/>
    <w:rsid w:val="00F05330"/>
    <w:rsid w:val="00F24584"/>
    <w:rsid w:val="00F7264D"/>
    <w:rsid w:val="00F814F3"/>
    <w:rsid w:val="00F839AE"/>
    <w:rsid w:val="00F854CC"/>
    <w:rsid w:val="00F97B8C"/>
    <w:rsid w:val="00FA3CBF"/>
    <w:rsid w:val="052547FD"/>
    <w:rsid w:val="06973BE6"/>
    <w:rsid w:val="0A4D6DEC"/>
    <w:rsid w:val="0BD01402"/>
    <w:rsid w:val="126F2AC2"/>
    <w:rsid w:val="14633B66"/>
    <w:rsid w:val="14EB32FD"/>
    <w:rsid w:val="1659332F"/>
    <w:rsid w:val="1E5E5217"/>
    <w:rsid w:val="277021D8"/>
    <w:rsid w:val="285C04DE"/>
    <w:rsid w:val="2A116D6F"/>
    <w:rsid w:val="2F2C3340"/>
    <w:rsid w:val="32A171A2"/>
    <w:rsid w:val="32A77B44"/>
    <w:rsid w:val="38612C38"/>
    <w:rsid w:val="3AF925AE"/>
    <w:rsid w:val="3FDD4A1A"/>
    <w:rsid w:val="42E35BCB"/>
    <w:rsid w:val="44750341"/>
    <w:rsid w:val="497F0BB7"/>
    <w:rsid w:val="4F5008BA"/>
    <w:rsid w:val="53E10E47"/>
    <w:rsid w:val="5DD0707C"/>
    <w:rsid w:val="5E6D4B86"/>
    <w:rsid w:val="642665C3"/>
    <w:rsid w:val="69DA0F5D"/>
    <w:rsid w:val="6A660B8B"/>
    <w:rsid w:val="6D1F076A"/>
    <w:rsid w:val="6F8D5BB8"/>
    <w:rsid w:val="6FD41295"/>
    <w:rsid w:val="6FD7F879"/>
    <w:rsid w:val="79837FBD"/>
    <w:rsid w:val="7A8D3FAA"/>
    <w:rsid w:val="7A9B0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tLeast"/>
      <w:ind w:firstLine="200" w:firstLineChars="200"/>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40"/>
    <w:qFormat/>
    <w:uiPriority w:val="9"/>
    <w:pPr>
      <w:keepNext/>
      <w:keepLines/>
      <w:numPr>
        <w:ilvl w:val="0"/>
        <w:numId w:val="1"/>
      </w:numPr>
      <w:spacing w:before="100" w:beforeLines="100" w:after="100" w:afterLines="100"/>
      <w:ind w:firstLineChars="0"/>
      <w:jc w:val="left"/>
      <w:outlineLvl w:val="0"/>
    </w:pPr>
    <w:rPr>
      <w:rFonts w:ascii="黑体" w:hAnsi="黑体" w:eastAsia="黑体"/>
      <w:b/>
      <w:bCs/>
      <w:kern w:val="44"/>
      <w:szCs w:val="44"/>
    </w:rPr>
  </w:style>
  <w:style w:type="paragraph" w:styleId="3">
    <w:name w:val="heading 2"/>
    <w:basedOn w:val="1"/>
    <w:next w:val="1"/>
    <w:link w:val="41"/>
    <w:unhideWhenUsed/>
    <w:qFormat/>
    <w:uiPriority w:val="9"/>
    <w:pPr>
      <w:keepNext/>
      <w:keepLines/>
      <w:numPr>
        <w:ilvl w:val="1"/>
        <w:numId w:val="1"/>
      </w:numPr>
      <w:spacing w:before="50" w:beforeLines="50" w:after="50" w:afterLines="50"/>
      <w:ind w:firstLineChars="0"/>
      <w:jc w:val="left"/>
      <w:outlineLvl w:val="1"/>
    </w:pPr>
    <w:rPr>
      <w:rFonts w:eastAsia="黑体" w:asciiTheme="majorHAnsi" w:hAnsiTheme="majorHAnsi" w:cstheme="majorBidi"/>
      <w:bCs/>
      <w:szCs w:val="32"/>
    </w:rPr>
  </w:style>
  <w:style w:type="paragraph" w:styleId="4">
    <w:name w:val="heading 3"/>
    <w:basedOn w:val="1"/>
    <w:next w:val="1"/>
    <w:link w:val="94"/>
    <w:unhideWhenUsed/>
    <w:qFormat/>
    <w:uiPriority w:val="9"/>
    <w:pPr>
      <w:keepNext/>
      <w:keepLines/>
      <w:numPr>
        <w:ilvl w:val="2"/>
        <w:numId w:val="1"/>
      </w:numPr>
      <w:spacing w:line="360" w:lineRule="exact"/>
      <w:ind w:right="100" w:rightChars="100" w:firstLineChars="0"/>
      <w:jc w:val="left"/>
      <w:outlineLvl w:val="2"/>
    </w:pPr>
    <w:rPr>
      <w:bCs/>
      <w:szCs w:val="32"/>
    </w:rPr>
  </w:style>
  <w:style w:type="paragraph" w:styleId="5">
    <w:name w:val="heading 4"/>
    <w:basedOn w:val="1"/>
    <w:next w:val="1"/>
    <w:link w:val="112"/>
    <w:qFormat/>
    <w:uiPriority w:val="1"/>
    <w:pPr>
      <w:numPr>
        <w:ilvl w:val="3"/>
        <w:numId w:val="1"/>
      </w:numPr>
      <w:autoSpaceDE w:val="0"/>
      <w:autoSpaceDN w:val="0"/>
      <w:snapToGrid/>
      <w:spacing w:line="360" w:lineRule="exact"/>
      <w:ind w:firstLineChars="0"/>
      <w:jc w:val="left"/>
      <w:outlineLvl w:val="3"/>
    </w:pPr>
    <w:rPr>
      <w:rFonts w:ascii="宋体" w:cs="宋体"/>
      <w:kern w:val="0"/>
      <w:szCs w:val="40"/>
    </w:rPr>
  </w:style>
  <w:style w:type="paragraph" w:styleId="6">
    <w:name w:val="heading 5"/>
    <w:basedOn w:val="1"/>
    <w:next w:val="1"/>
    <w:link w:val="113"/>
    <w:qFormat/>
    <w:uiPriority w:val="1"/>
    <w:pPr>
      <w:autoSpaceDE w:val="0"/>
      <w:autoSpaceDN w:val="0"/>
      <w:snapToGrid/>
      <w:spacing w:line="240" w:lineRule="auto"/>
      <w:ind w:left="20" w:firstLine="0" w:firstLineChars="0"/>
      <w:jc w:val="left"/>
      <w:outlineLvl w:val="4"/>
    </w:pPr>
    <w:rPr>
      <w:rFonts w:cs="Times New Roman" w:eastAsiaTheme="minorEastAsia"/>
      <w:kern w:val="0"/>
      <w:sz w:val="32"/>
      <w:szCs w:val="32"/>
    </w:rPr>
  </w:style>
  <w:style w:type="paragraph" w:styleId="7">
    <w:name w:val="heading 6"/>
    <w:basedOn w:val="1"/>
    <w:next w:val="1"/>
    <w:link w:val="114"/>
    <w:qFormat/>
    <w:uiPriority w:val="1"/>
    <w:pPr>
      <w:autoSpaceDE w:val="0"/>
      <w:autoSpaceDN w:val="0"/>
      <w:snapToGrid/>
      <w:spacing w:line="311" w:lineRule="exact"/>
      <w:ind w:firstLine="0" w:firstLineChars="0"/>
      <w:jc w:val="left"/>
      <w:outlineLvl w:val="5"/>
    </w:pPr>
    <w:rPr>
      <w:rFonts w:ascii="宋体" w:cs="宋体"/>
      <w:kern w:val="0"/>
      <w:sz w:val="31"/>
      <w:szCs w:val="31"/>
    </w:rPr>
  </w:style>
  <w:style w:type="paragraph" w:styleId="8">
    <w:name w:val="heading 7"/>
    <w:basedOn w:val="1"/>
    <w:next w:val="1"/>
    <w:link w:val="115"/>
    <w:qFormat/>
    <w:uiPriority w:val="1"/>
    <w:pPr>
      <w:autoSpaceDE w:val="0"/>
      <w:autoSpaceDN w:val="0"/>
      <w:snapToGrid/>
      <w:spacing w:line="240" w:lineRule="auto"/>
      <w:ind w:firstLine="0" w:firstLineChars="0"/>
      <w:jc w:val="left"/>
      <w:outlineLvl w:val="6"/>
    </w:pPr>
    <w:rPr>
      <w:rFonts w:ascii="宋体" w:cs="宋体"/>
      <w:kern w:val="0"/>
      <w:sz w:val="30"/>
      <w:szCs w:val="30"/>
    </w:rPr>
  </w:style>
  <w:style w:type="paragraph" w:styleId="9">
    <w:name w:val="heading 8"/>
    <w:basedOn w:val="1"/>
    <w:next w:val="1"/>
    <w:link w:val="116"/>
    <w:qFormat/>
    <w:uiPriority w:val="1"/>
    <w:pPr>
      <w:autoSpaceDE w:val="0"/>
      <w:autoSpaceDN w:val="0"/>
      <w:snapToGrid/>
      <w:spacing w:line="240" w:lineRule="auto"/>
      <w:ind w:firstLine="0" w:firstLineChars="0"/>
      <w:jc w:val="left"/>
      <w:outlineLvl w:val="7"/>
    </w:pPr>
    <w:rPr>
      <w:rFonts w:ascii="宋体" w:cs="宋体"/>
      <w:kern w:val="0"/>
      <w:sz w:val="29"/>
      <w:szCs w:val="29"/>
    </w:rPr>
  </w:style>
  <w:style w:type="paragraph" w:styleId="10">
    <w:name w:val="heading 9"/>
    <w:basedOn w:val="1"/>
    <w:next w:val="1"/>
    <w:link w:val="117"/>
    <w:qFormat/>
    <w:uiPriority w:val="1"/>
    <w:pPr>
      <w:autoSpaceDE w:val="0"/>
      <w:autoSpaceDN w:val="0"/>
      <w:snapToGrid/>
      <w:spacing w:line="240" w:lineRule="auto"/>
      <w:ind w:left="104" w:firstLine="0" w:firstLineChars="0"/>
      <w:jc w:val="center"/>
      <w:outlineLvl w:val="8"/>
    </w:pPr>
    <w:rPr>
      <w:rFonts w:ascii="宋体" w:cs="宋体"/>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line="240" w:lineRule="auto"/>
      <w:ind w:left="2520" w:leftChars="1200" w:firstLine="0" w:firstLineChars="0"/>
    </w:pPr>
    <w:rPr>
      <w:rFonts w:asciiTheme="minorHAnsi" w:hAnsiTheme="minorHAnsi" w:eastAsiaTheme="minorEastAsia"/>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118"/>
    <w:qFormat/>
    <w:uiPriority w:val="99"/>
    <w:pPr>
      <w:shd w:val="clear" w:color="auto" w:fill="000080"/>
      <w:adjustRightInd/>
      <w:snapToGrid/>
      <w:spacing w:line="360" w:lineRule="auto"/>
    </w:pPr>
    <w:rPr>
      <w:rFonts w:cs="Times New Roman"/>
      <w:sz w:val="24"/>
      <w:szCs w:val="24"/>
    </w:rPr>
  </w:style>
  <w:style w:type="paragraph" w:styleId="14">
    <w:name w:val="annotation text"/>
    <w:basedOn w:val="1"/>
    <w:link w:val="43"/>
    <w:semiHidden/>
    <w:unhideWhenUsed/>
    <w:qFormat/>
    <w:uiPriority w:val="99"/>
    <w:pPr>
      <w:jc w:val="left"/>
    </w:pPr>
  </w:style>
  <w:style w:type="paragraph" w:styleId="15">
    <w:name w:val="Body Text"/>
    <w:basedOn w:val="1"/>
    <w:link w:val="44"/>
    <w:qFormat/>
    <w:uiPriority w:val="1"/>
    <w:pPr>
      <w:autoSpaceDE w:val="0"/>
      <w:autoSpaceDN w:val="0"/>
      <w:snapToGrid/>
      <w:spacing w:before="177" w:line="240" w:lineRule="auto"/>
      <w:ind w:left="118" w:firstLine="0" w:firstLineChars="0"/>
      <w:jc w:val="left"/>
    </w:pPr>
    <w:rPr>
      <w:rFonts w:ascii="宋体" w:cs="宋体"/>
      <w:kern w:val="0"/>
      <w:szCs w:val="21"/>
    </w:rPr>
  </w:style>
  <w:style w:type="paragraph" w:styleId="16">
    <w:name w:val="toc 5"/>
    <w:basedOn w:val="1"/>
    <w:next w:val="1"/>
    <w:unhideWhenUsed/>
    <w:qFormat/>
    <w:uiPriority w:val="39"/>
    <w:pPr>
      <w:adjustRightInd/>
      <w:snapToGrid/>
      <w:spacing w:line="240" w:lineRule="auto"/>
      <w:ind w:left="1680" w:leftChars="800" w:firstLine="0" w:firstLineChars="0"/>
    </w:pPr>
    <w:rPr>
      <w:rFonts w:asciiTheme="minorHAnsi" w:hAnsiTheme="minorHAnsi" w:eastAsiaTheme="minorEastAsia"/>
    </w:rPr>
  </w:style>
  <w:style w:type="paragraph" w:styleId="17">
    <w:name w:val="toc 3"/>
    <w:basedOn w:val="1"/>
    <w:next w:val="1"/>
    <w:unhideWhenUsed/>
    <w:qFormat/>
    <w:uiPriority w:val="39"/>
    <w:pPr>
      <w:widowControl/>
      <w:adjustRightInd/>
      <w:snapToGrid/>
      <w:spacing w:after="100" w:line="276" w:lineRule="auto"/>
      <w:ind w:left="440"/>
      <w:jc w:val="left"/>
    </w:pPr>
    <w:rPr>
      <w:rFonts w:asciiTheme="minorHAnsi" w:hAnsiTheme="minorHAnsi" w:eastAsiaTheme="minorEastAsia"/>
      <w:kern w:val="0"/>
      <w:sz w:val="22"/>
    </w:rPr>
  </w:style>
  <w:style w:type="paragraph" w:styleId="18">
    <w:name w:val="toc 8"/>
    <w:basedOn w:val="1"/>
    <w:next w:val="1"/>
    <w:unhideWhenUsed/>
    <w:qFormat/>
    <w:uiPriority w:val="39"/>
    <w:pPr>
      <w:adjustRightInd/>
      <w:snapToGrid/>
      <w:spacing w:line="240" w:lineRule="auto"/>
      <w:ind w:left="2940" w:leftChars="1400" w:firstLine="0" w:firstLineChars="0"/>
    </w:pPr>
    <w:rPr>
      <w:rFonts w:asciiTheme="minorHAnsi" w:hAnsiTheme="minorHAnsi" w:eastAsiaTheme="minorEastAsia"/>
    </w:rPr>
  </w:style>
  <w:style w:type="paragraph" w:styleId="19">
    <w:name w:val="Date"/>
    <w:basedOn w:val="1"/>
    <w:next w:val="1"/>
    <w:link w:val="45"/>
    <w:semiHidden/>
    <w:unhideWhenUsed/>
    <w:qFormat/>
    <w:uiPriority w:val="99"/>
    <w:pPr>
      <w:ind w:left="100" w:leftChars="2500"/>
    </w:pPr>
  </w:style>
  <w:style w:type="paragraph" w:styleId="20">
    <w:name w:val="Balloon Text"/>
    <w:basedOn w:val="1"/>
    <w:link w:val="46"/>
    <w:semiHidden/>
    <w:unhideWhenUsed/>
    <w:qFormat/>
    <w:uiPriority w:val="99"/>
    <w:rPr>
      <w:sz w:val="18"/>
      <w:szCs w:val="18"/>
    </w:rPr>
  </w:style>
  <w:style w:type="paragraph" w:styleId="21">
    <w:name w:val="footer"/>
    <w:basedOn w:val="1"/>
    <w:link w:val="47"/>
    <w:qFormat/>
    <w:uiPriority w:val="99"/>
    <w:pPr>
      <w:tabs>
        <w:tab w:val="center" w:pos="4153"/>
        <w:tab w:val="right" w:pos="8306"/>
      </w:tabs>
      <w:adjustRightInd/>
      <w:ind w:right="210" w:rightChars="100"/>
      <w:jc w:val="right"/>
    </w:pPr>
    <w:rPr>
      <w:rFonts w:cs="Times New Roman"/>
      <w:sz w:val="18"/>
      <w:szCs w:val="18"/>
    </w:rPr>
  </w:style>
  <w:style w:type="paragraph" w:styleId="22">
    <w:name w:val="header"/>
    <w:basedOn w:val="1"/>
    <w:link w:val="48"/>
    <w:qFormat/>
    <w:uiPriority w:val="0"/>
    <w:pPr>
      <w:pBdr>
        <w:bottom w:val="single" w:color="auto" w:sz="6" w:space="1"/>
      </w:pBdr>
      <w:tabs>
        <w:tab w:val="center" w:pos="4153"/>
        <w:tab w:val="right" w:pos="8306"/>
      </w:tabs>
      <w:adjustRightInd/>
      <w:jc w:val="center"/>
    </w:pPr>
    <w:rPr>
      <w:rFonts w:cs="Times New Roman"/>
      <w:sz w:val="18"/>
      <w:szCs w:val="18"/>
    </w:rPr>
  </w:style>
  <w:style w:type="paragraph" w:styleId="23">
    <w:name w:val="toc 1"/>
    <w:basedOn w:val="1"/>
    <w:next w:val="1"/>
    <w:qFormat/>
    <w:uiPriority w:val="39"/>
    <w:pPr>
      <w:spacing w:line="400" w:lineRule="exact"/>
    </w:pPr>
    <w:rPr>
      <w:rFonts w:cs="Times New Roman"/>
      <w:bCs/>
      <w:szCs w:val="20"/>
    </w:rPr>
  </w:style>
  <w:style w:type="paragraph" w:styleId="24">
    <w:name w:val="toc 4"/>
    <w:basedOn w:val="1"/>
    <w:next w:val="1"/>
    <w:unhideWhenUsed/>
    <w:qFormat/>
    <w:uiPriority w:val="39"/>
    <w:pPr>
      <w:adjustRightInd/>
      <w:snapToGrid/>
      <w:spacing w:line="240" w:lineRule="auto"/>
      <w:ind w:left="1260" w:leftChars="600" w:firstLine="0" w:firstLineChars="0"/>
    </w:pPr>
    <w:rPr>
      <w:rFonts w:asciiTheme="minorHAnsi" w:hAnsiTheme="minorHAnsi" w:eastAsiaTheme="minorEastAsia"/>
    </w:rPr>
  </w:style>
  <w:style w:type="paragraph" w:styleId="25">
    <w:name w:val="toc 6"/>
    <w:basedOn w:val="1"/>
    <w:next w:val="1"/>
    <w:unhideWhenUsed/>
    <w:qFormat/>
    <w:uiPriority w:val="39"/>
    <w:pPr>
      <w:adjustRightInd/>
      <w:snapToGrid/>
      <w:spacing w:line="240" w:lineRule="auto"/>
      <w:ind w:left="2100" w:leftChars="1000" w:firstLine="0" w:firstLineChars="0"/>
    </w:pPr>
    <w:rPr>
      <w:rFonts w:asciiTheme="minorHAnsi" w:hAnsiTheme="minorHAnsi" w:eastAsiaTheme="minorEastAsia"/>
    </w:rPr>
  </w:style>
  <w:style w:type="paragraph" w:styleId="26">
    <w:name w:val="toc 2"/>
    <w:basedOn w:val="1"/>
    <w:next w:val="1"/>
    <w:unhideWhenUsed/>
    <w:qFormat/>
    <w:uiPriority w:val="39"/>
    <w:pPr>
      <w:ind w:left="210" w:firstLine="100" w:firstLineChars="100"/>
      <w:jc w:val="left"/>
    </w:pPr>
    <w:rPr>
      <w:rFonts w:cs="Times New Roman"/>
      <w:smallCaps/>
      <w:szCs w:val="20"/>
    </w:rPr>
  </w:style>
  <w:style w:type="paragraph" w:styleId="27">
    <w:name w:val="toc 9"/>
    <w:basedOn w:val="1"/>
    <w:next w:val="1"/>
    <w:unhideWhenUsed/>
    <w:qFormat/>
    <w:uiPriority w:val="39"/>
    <w:pPr>
      <w:adjustRightInd/>
      <w:snapToGrid/>
      <w:spacing w:line="240" w:lineRule="auto"/>
      <w:ind w:left="3360" w:leftChars="1600" w:firstLine="0" w:firstLineChars="0"/>
    </w:pPr>
    <w:rPr>
      <w:rFonts w:asciiTheme="minorHAnsi" w:hAnsiTheme="minorHAnsi" w:eastAsiaTheme="minorEastAsia"/>
    </w:rPr>
  </w:style>
  <w:style w:type="paragraph" w:styleId="28">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360" w:lineRule="auto"/>
      <w:jc w:val="left"/>
    </w:pPr>
    <w:rPr>
      <w:rFonts w:ascii="宋体" w:hAnsi="宋体" w:cs="宋体"/>
      <w:kern w:val="0"/>
      <w:sz w:val="24"/>
      <w:szCs w:val="24"/>
    </w:rPr>
  </w:style>
  <w:style w:type="paragraph" w:styleId="29">
    <w:name w:val="Normal (Web)"/>
    <w:basedOn w:val="1"/>
    <w:semiHidden/>
    <w:unhideWhenUsed/>
    <w:qFormat/>
    <w:uiPriority w:val="99"/>
    <w:pPr>
      <w:spacing w:beforeAutospacing="1" w:afterAutospacing="1"/>
      <w:jc w:val="left"/>
    </w:pPr>
    <w:rPr>
      <w:rFonts w:cs="Times New Roman"/>
      <w:kern w:val="0"/>
      <w:sz w:val="24"/>
    </w:rPr>
  </w:style>
  <w:style w:type="paragraph" w:styleId="30">
    <w:name w:val="Title"/>
    <w:basedOn w:val="1"/>
    <w:link w:val="50"/>
    <w:qFormat/>
    <w:uiPriority w:val="0"/>
    <w:pPr>
      <w:snapToGrid/>
      <w:spacing w:before="240" w:after="60" w:line="400" w:lineRule="exact"/>
      <w:ind w:firstLine="0" w:firstLineChars="0"/>
      <w:jc w:val="center"/>
      <w:outlineLvl w:val="0"/>
    </w:pPr>
    <w:rPr>
      <w:rFonts w:ascii="Arial" w:hAnsi="Arial" w:cs="Arial"/>
      <w:b/>
      <w:bCs/>
      <w:sz w:val="32"/>
      <w:szCs w:val="32"/>
    </w:rPr>
  </w:style>
  <w:style w:type="paragraph" w:styleId="31">
    <w:name w:val="annotation subject"/>
    <w:basedOn w:val="14"/>
    <w:next w:val="14"/>
    <w:link w:val="51"/>
    <w:semiHidden/>
    <w:unhideWhenUsed/>
    <w:qFormat/>
    <w:uiPriority w:val="99"/>
    <w:rPr>
      <w:b/>
      <w:bCs/>
    </w:rPr>
  </w:style>
  <w:style w:type="paragraph" w:styleId="32">
    <w:name w:val="Body Text First Indent"/>
    <w:basedOn w:val="15"/>
    <w:link w:val="52"/>
    <w:unhideWhenUsed/>
    <w:qFormat/>
    <w:uiPriority w:val="99"/>
    <w:pPr>
      <w:ind w:firstLine="420" w:firstLineChars="200"/>
      <w:jc w:val="center"/>
    </w:pPr>
  </w:style>
  <w:style w:type="table" w:styleId="34">
    <w:name w:val="Table Grid"/>
    <w:basedOn w:val="33"/>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rPr>
      <w:rFonts w:ascii="Times New Roman" w:hAnsi="Times New Roman" w:eastAsia="宋体"/>
      <w:sz w:val="18"/>
    </w:rPr>
  </w:style>
  <w:style w:type="character" w:styleId="37">
    <w:name w:val="Emphasis"/>
    <w:basedOn w:val="35"/>
    <w:qFormat/>
    <w:uiPriority w:val="20"/>
    <w:rPr>
      <w:i/>
      <w:iCs/>
    </w:rPr>
  </w:style>
  <w:style w:type="character" w:styleId="38">
    <w:name w:val="Hyperlink"/>
    <w:basedOn w:val="35"/>
    <w:qFormat/>
    <w:uiPriority w:val="99"/>
    <w:rPr>
      <w:color w:val="0000FF"/>
      <w:spacing w:val="0"/>
      <w:w w:val="100"/>
      <w:szCs w:val="21"/>
      <w:u w:val="single"/>
    </w:rPr>
  </w:style>
  <w:style w:type="character" w:styleId="39">
    <w:name w:val="annotation reference"/>
    <w:basedOn w:val="35"/>
    <w:semiHidden/>
    <w:unhideWhenUsed/>
    <w:qFormat/>
    <w:uiPriority w:val="99"/>
    <w:rPr>
      <w:sz w:val="21"/>
      <w:szCs w:val="21"/>
    </w:rPr>
  </w:style>
  <w:style w:type="character" w:customStyle="1" w:styleId="40">
    <w:name w:val="标题 1 Char"/>
    <w:basedOn w:val="35"/>
    <w:link w:val="2"/>
    <w:qFormat/>
    <w:uiPriority w:val="9"/>
    <w:rPr>
      <w:rFonts w:ascii="黑体" w:hAnsi="黑体" w:eastAsia="黑体" w:cstheme="minorBidi"/>
      <w:b/>
      <w:bCs/>
      <w:kern w:val="44"/>
      <w:sz w:val="21"/>
      <w:szCs w:val="44"/>
    </w:rPr>
  </w:style>
  <w:style w:type="character" w:customStyle="1" w:styleId="41">
    <w:name w:val="标题 2 Char"/>
    <w:basedOn w:val="35"/>
    <w:link w:val="3"/>
    <w:qFormat/>
    <w:uiPriority w:val="9"/>
    <w:rPr>
      <w:rFonts w:eastAsia="黑体" w:asciiTheme="majorHAnsi" w:hAnsiTheme="majorHAnsi" w:cstheme="majorBidi"/>
      <w:bCs/>
      <w:kern w:val="2"/>
      <w:sz w:val="21"/>
      <w:szCs w:val="32"/>
    </w:rPr>
  </w:style>
  <w:style w:type="character" w:customStyle="1" w:styleId="42">
    <w:name w:val="标题 3 Char"/>
    <w:basedOn w:val="35"/>
    <w:qFormat/>
    <w:uiPriority w:val="9"/>
    <w:rPr>
      <w:rFonts w:ascii="Times New Roman" w:hAnsi="Times New Roman" w:eastAsia="宋体"/>
      <w:b/>
      <w:bCs/>
      <w:sz w:val="32"/>
      <w:szCs w:val="32"/>
    </w:rPr>
  </w:style>
  <w:style w:type="character" w:customStyle="1" w:styleId="43">
    <w:name w:val="批注文字 Char"/>
    <w:basedOn w:val="35"/>
    <w:link w:val="14"/>
    <w:semiHidden/>
    <w:qFormat/>
    <w:uiPriority w:val="99"/>
    <w:rPr>
      <w:rFonts w:ascii="Times New Roman" w:hAnsi="Times New Roman" w:eastAsia="宋体"/>
    </w:rPr>
  </w:style>
  <w:style w:type="character" w:customStyle="1" w:styleId="44">
    <w:name w:val="正文文本 Char"/>
    <w:basedOn w:val="35"/>
    <w:link w:val="15"/>
    <w:qFormat/>
    <w:uiPriority w:val="1"/>
    <w:rPr>
      <w:rFonts w:ascii="宋体" w:hAnsi="Times New Roman" w:eastAsia="宋体" w:cs="宋体"/>
      <w:kern w:val="0"/>
      <w:szCs w:val="21"/>
    </w:rPr>
  </w:style>
  <w:style w:type="character" w:customStyle="1" w:styleId="45">
    <w:name w:val="日期 Char"/>
    <w:basedOn w:val="35"/>
    <w:link w:val="19"/>
    <w:semiHidden/>
    <w:qFormat/>
    <w:uiPriority w:val="99"/>
    <w:rPr>
      <w:rFonts w:ascii="Times New Roman" w:hAnsi="Times New Roman" w:eastAsia="宋体"/>
    </w:rPr>
  </w:style>
  <w:style w:type="character" w:customStyle="1" w:styleId="46">
    <w:name w:val="批注框文本 Char"/>
    <w:basedOn w:val="35"/>
    <w:link w:val="20"/>
    <w:semiHidden/>
    <w:qFormat/>
    <w:uiPriority w:val="99"/>
    <w:rPr>
      <w:rFonts w:ascii="Times New Roman" w:hAnsi="Times New Roman" w:eastAsia="宋体"/>
      <w:sz w:val="18"/>
      <w:szCs w:val="18"/>
    </w:rPr>
  </w:style>
  <w:style w:type="character" w:customStyle="1" w:styleId="47">
    <w:name w:val="页脚 Char"/>
    <w:basedOn w:val="35"/>
    <w:link w:val="21"/>
    <w:qFormat/>
    <w:uiPriority w:val="99"/>
    <w:rPr>
      <w:rFonts w:ascii="Times New Roman" w:hAnsi="Times New Roman" w:eastAsia="宋体" w:cs="Times New Roman"/>
      <w:sz w:val="18"/>
      <w:szCs w:val="18"/>
    </w:rPr>
  </w:style>
  <w:style w:type="character" w:customStyle="1" w:styleId="48">
    <w:name w:val="页眉 Char"/>
    <w:basedOn w:val="35"/>
    <w:link w:val="22"/>
    <w:qFormat/>
    <w:uiPriority w:val="0"/>
    <w:rPr>
      <w:rFonts w:ascii="Times New Roman" w:hAnsi="Times New Roman" w:eastAsia="宋体" w:cs="Times New Roman"/>
      <w:sz w:val="18"/>
      <w:szCs w:val="18"/>
    </w:rPr>
  </w:style>
  <w:style w:type="character" w:customStyle="1" w:styleId="49">
    <w:name w:val="HTML 预设格式 Char"/>
    <w:basedOn w:val="35"/>
    <w:link w:val="28"/>
    <w:qFormat/>
    <w:uiPriority w:val="0"/>
    <w:rPr>
      <w:rFonts w:ascii="宋体" w:hAnsi="宋体" w:eastAsia="宋体" w:cs="宋体"/>
      <w:kern w:val="0"/>
      <w:sz w:val="24"/>
      <w:szCs w:val="24"/>
    </w:rPr>
  </w:style>
  <w:style w:type="character" w:customStyle="1" w:styleId="50">
    <w:name w:val="标题 Char"/>
    <w:basedOn w:val="35"/>
    <w:link w:val="30"/>
    <w:qFormat/>
    <w:uiPriority w:val="0"/>
    <w:rPr>
      <w:rFonts w:ascii="Arial" w:hAnsi="Arial" w:eastAsia="宋体" w:cs="Arial"/>
      <w:b/>
      <w:bCs/>
      <w:sz w:val="32"/>
      <w:szCs w:val="32"/>
    </w:rPr>
  </w:style>
  <w:style w:type="character" w:customStyle="1" w:styleId="51">
    <w:name w:val="批注主题 Char"/>
    <w:basedOn w:val="43"/>
    <w:link w:val="31"/>
    <w:semiHidden/>
    <w:qFormat/>
    <w:uiPriority w:val="99"/>
    <w:rPr>
      <w:rFonts w:ascii="Times New Roman" w:hAnsi="Times New Roman" w:eastAsia="宋体"/>
      <w:b/>
      <w:bCs/>
    </w:rPr>
  </w:style>
  <w:style w:type="character" w:customStyle="1" w:styleId="52">
    <w:name w:val="正文首行缩进 Char"/>
    <w:basedOn w:val="44"/>
    <w:link w:val="32"/>
    <w:qFormat/>
    <w:uiPriority w:val="99"/>
    <w:rPr>
      <w:rFonts w:ascii="宋体" w:hAnsi="Times New Roman" w:eastAsia="宋体" w:cs="宋体"/>
      <w:kern w:val="0"/>
      <w:szCs w:val="21"/>
    </w:rPr>
  </w:style>
  <w:style w:type="character" w:styleId="53">
    <w:name w:val="Placeholder Text"/>
    <w:basedOn w:val="35"/>
    <w:semiHidden/>
    <w:qFormat/>
    <w:uiPriority w:val="99"/>
    <w:rPr>
      <w:color w:val="808080"/>
    </w:rPr>
  </w:style>
  <w:style w:type="paragraph" w:customStyle="1" w:styleId="54">
    <w:name w:val="MTDisplayEquation"/>
    <w:basedOn w:val="1"/>
    <w:next w:val="1"/>
    <w:link w:val="55"/>
    <w:qFormat/>
    <w:uiPriority w:val="0"/>
    <w:pPr>
      <w:tabs>
        <w:tab w:val="center" w:pos="4160"/>
        <w:tab w:val="right" w:pos="8300"/>
      </w:tabs>
      <w:adjustRightInd/>
      <w:snapToGrid/>
      <w:spacing w:line="400" w:lineRule="exact"/>
      <w:jc w:val="center"/>
    </w:pPr>
    <w:rPr>
      <w:rFonts w:ascii="宋体" w:hAnsi="宋体"/>
      <w:color w:val="2F5597" w:themeColor="accent5" w:themeShade="BF"/>
      <w:sz w:val="28"/>
      <w:szCs w:val="28"/>
    </w:rPr>
  </w:style>
  <w:style w:type="character" w:customStyle="1" w:styleId="55">
    <w:name w:val="MTDisplayEquation 字符"/>
    <w:basedOn w:val="35"/>
    <w:link w:val="54"/>
    <w:qFormat/>
    <w:uiPriority w:val="0"/>
    <w:rPr>
      <w:rFonts w:ascii="宋体" w:hAnsi="宋体" w:eastAsia="宋体"/>
      <w:color w:val="2F5597" w:themeColor="accent5" w:themeShade="BF"/>
      <w:sz w:val="28"/>
      <w:szCs w:val="28"/>
    </w:rPr>
  </w:style>
  <w:style w:type="paragraph" w:customStyle="1" w:styleId="56">
    <w:name w:val="TOC 标题1"/>
    <w:basedOn w:val="2"/>
    <w:next w:val="1"/>
    <w:unhideWhenUsed/>
    <w:qFormat/>
    <w:uiPriority w:val="39"/>
    <w:pPr>
      <w:widowControl/>
      <w:adjustRightInd/>
      <w:snapToGrid/>
      <w:spacing w:before="480" w:after="0" w:line="276" w:lineRule="auto"/>
      <w:outlineLvl w:val="9"/>
    </w:pPr>
    <w:rPr>
      <w:rFonts w:asciiTheme="majorHAnsi" w:hAnsiTheme="majorHAnsi" w:eastAsiaTheme="majorEastAsia" w:cstheme="majorBidi"/>
      <w:color w:val="2E75B6" w:themeColor="accent1" w:themeShade="BF"/>
      <w:kern w:val="0"/>
      <w:sz w:val="28"/>
      <w:szCs w:val="28"/>
    </w:rPr>
  </w:style>
  <w:style w:type="paragraph" w:customStyle="1" w:styleId="5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0">
    <w:name w:val="标准书眉一"/>
    <w:qFormat/>
    <w:uiPriority w:val="0"/>
    <w:pPr>
      <w:jc w:val="both"/>
    </w:pPr>
    <w:rPr>
      <w:rFonts w:ascii="Times New Roman" w:hAnsi="Times New Roman" w:eastAsia="宋体" w:cs="Times New Roman"/>
      <w:lang w:val="en-US" w:eastAsia="zh-CN" w:bidi="ar-SA"/>
    </w:rPr>
  </w:style>
  <w:style w:type="character" w:customStyle="1" w:styleId="61">
    <w:name w:val="发布"/>
    <w:basedOn w:val="35"/>
    <w:qFormat/>
    <w:uiPriority w:val="0"/>
    <w:rPr>
      <w:rFonts w:ascii="黑体" w:eastAsia="黑体"/>
      <w:spacing w:val="22"/>
      <w:w w:val="100"/>
      <w:position w:val="3"/>
      <w:sz w:val="28"/>
    </w:rPr>
  </w:style>
  <w:style w:type="paragraph" w:customStyle="1" w:styleId="62">
    <w:name w:val="发布部门"/>
    <w:next w:val="63"/>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3">
    <w:name w:val="标准文件_段"/>
    <w:link w:val="8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68">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69">
    <w:name w:val="封面正文"/>
    <w:qFormat/>
    <w:uiPriority w:val="0"/>
    <w:pPr>
      <w:jc w:val="both"/>
    </w:pPr>
    <w:rPr>
      <w:rFonts w:ascii="Times New Roman" w:hAnsi="Times New Roman" w:eastAsia="宋体" w:cs="Times New Roman"/>
      <w:lang w:val="en-US" w:eastAsia="zh-CN" w:bidi="ar-SA"/>
    </w:rPr>
  </w:style>
  <w:style w:type="paragraph" w:customStyle="1" w:styleId="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71">
    <w:name w:val="其他发布部门"/>
    <w:basedOn w:val="62"/>
    <w:qFormat/>
    <w:uiPriority w:val="0"/>
    <w:pPr>
      <w:framePr/>
      <w:spacing w:line="0" w:lineRule="atLeast"/>
    </w:pPr>
    <w:rPr>
      <w:rFonts w:ascii="黑体" w:eastAsia="黑体"/>
      <w:b w:val="0"/>
    </w:rPr>
  </w:style>
  <w:style w:type="paragraph" w:customStyle="1" w:styleId="72">
    <w:name w:val="实施日期"/>
    <w:basedOn w:val="64"/>
    <w:qFormat/>
    <w:uiPriority w:val="0"/>
    <w:pPr>
      <w:framePr w:hSpace="0" w:xAlign="right"/>
      <w:jc w:val="right"/>
    </w:pPr>
  </w:style>
  <w:style w:type="paragraph" w:customStyle="1" w:styleId="73">
    <w:name w:val="表格内容"/>
    <w:basedOn w:val="1"/>
    <w:qFormat/>
    <w:uiPriority w:val="0"/>
    <w:pPr>
      <w:jc w:val="center"/>
    </w:pPr>
    <w:rPr>
      <w:rFonts w:cs="Times New Roman"/>
      <w:sz w:val="18"/>
      <w:szCs w:val="21"/>
    </w:rPr>
  </w:style>
  <w:style w:type="paragraph" w:customStyle="1" w:styleId="74">
    <w:name w:val="表头"/>
    <w:basedOn w:val="1"/>
    <w:qFormat/>
    <w:uiPriority w:val="0"/>
    <w:pPr>
      <w:spacing w:before="50" w:beforeLines="50" w:after="50" w:afterLines="50"/>
      <w:jc w:val="center"/>
    </w:pPr>
    <w:rPr>
      <w:rFonts w:eastAsia="黑体" w:cs="Times New Roman"/>
    </w:rPr>
  </w:style>
  <w:style w:type="paragraph" w:styleId="75">
    <w:name w:val="List Paragraph"/>
    <w:basedOn w:val="1"/>
    <w:qFormat/>
    <w:uiPriority w:val="1"/>
    <w:pPr>
      <w:adjustRightInd/>
      <w:snapToGrid/>
      <w:spacing w:line="360" w:lineRule="exact"/>
      <w:ind w:firstLine="0" w:firstLineChars="0"/>
    </w:pPr>
    <w:rPr>
      <w:rFonts w:cs="Times New Roman"/>
      <w:szCs w:val="24"/>
    </w:rPr>
  </w:style>
  <w:style w:type="character" w:customStyle="1" w:styleId="76">
    <w:name w:val="二级 Char"/>
    <w:basedOn w:val="35"/>
    <w:link w:val="77"/>
    <w:qFormat/>
    <w:locked/>
    <w:uiPriority w:val="0"/>
    <w:rPr>
      <w:rFonts w:ascii="黑体" w:hAnsi="宋体" w:eastAsia="黑体" w:cstheme="minorBidi"/>
      <w:b/>
      <w:bCs/>
      <w:kern w:val="2"/>
      <w:sz w:val="21"/>
      <w:szCs w:val="32"/>
    </w:rPr>
  </w:style>
  <w:style w:type="paragraph" w:customStyle="1" w:styleId="77">
    <w:name w:val="二级"/>
    <w:basedOn w:val="1"/>
    <w:link w:val="76"/>
    <w:qFormat/>
    <w:uiPriority w:val="0"/>
    <w:pPr>
      <w:keepNext/>
      <w:numPr>
        <w:ilvl w:val="0"/>
        <w:numId w:val="2"/>
      </w:numPr>
      <w:tabs>
        <w:tab w:val="left" w:pos="180"/>
      </w:tabs>
      <w:adjustRightInd/>
      <w:snapToGrid/>
      <w:spacing w:before="50" w:beforeLines="50" w:after="50" w:afterLines="50"/>
      <w:ind w:left="0" w:firstLine="0"/>
      <w:jc w:val="center"/>
      <w:outlineLvl w:val="1"/>
    </w:pPr>
    <w:rPr>
      <w:rFonts w:ascii="黑体" w:hAnsi="宋体" w:eastAsia="黑体"/>
      <w:b/>
      <w:bCs/>
      <w:szCs w:val="32"/>
    </w:rPr>
  </w:style>
  <w:style w:type="character" w:customStyle="1" w:styleId="78">
    <w:name w:val="一级 Char"/>
    <w:basedOn w:val="35"/>
    <w:link w:val="79"/>
    <w:qFormat/>
    <w:locked/>
    <w:uiPriority w:val="0"/>
    <w:rPr>
      <w:rFonts w:ascii="黑体" w:hAnsi="宋体" w:eastAsia="黑体" w:cstheme="minorBidi"/>
      <w:b/>
      <w:kern w:val="2"/>
      <w:sz w:val="21"/>
      <w:szCs w:val="28"/>
    </w:rPr>
  </w:style>
  <w:style w:type="paragraph" w:customStyle="1" w:styleId="79">
    <w:name w:val="一级"/>
    <w:basedOn w:val="1"/>
    <w:link w:val="78"/>
    <w:qFormat/>
    <w:uiPriority w:val="0"/>
    <w:pPr>
      <w:keepNext/>
      <w:numPr>
        <w:ilvl w:val="0"/>
        <w:numId w:val="3"/>
      </w:numPr>
      <w:adjustRightInd/>
      <w:snapToGrid/>
      <w:spacing w:before="100" w:beforeLines="100" w:after="100" w:afterLines="100"/>
      <w:jc w:val="center"/>
      <w:outlineLvl w:val="0"/>
    </w:pPr>
    <w:rPr>
      <w:rFonts w:ascii="黑体" w:hAnsi="宋体" w:eastAsia="黑体"/>
      <w:b/>
      <w:szCs w:val="28"/>
    </w:rPr>
  </w:style>
  <w:style w:type="character" w:customStyle="1" w:styleId="80">
    <w:name w:val="标准文件_段 Char"/>
    <w:link w:val="63"/>
    <w:qFormat/>
    <w:uiPriority w:val="0"/>
    <w:rPr>
      <w:rFonts w:ascii="宋体" w:hAnsi="Times New Roman" w:eastAsia="宋体" w:cs="Times New Roman"/>
      <w:kern w:val="0"/>
      <w:szCs w:val="20"/>
    </w:rPr>
  </w:style>
  <w:style w:type="paragraph" w:customStyle="1" w:styleId="81">
    <w:name w:val="标准文件_前言、引言标题"/>
    <w:next w:val="1"/>
    <w:qFormat/>
    <w:uiPriority w:val="0"/>
    <w:pPr>
      <w:numPr>
        <w:ilvl w:val="0"/>
        <w:numId w:val="4"/>
      </w:numPr>
      <w:shd w:val="clear" w:color="FFFFFF" w:fill="FFFFFF"/>
      <w:spacing w:after="150" w:afterLines="150"/>
      <w:jc w:val="center"/>
      <w:outlineLvl w:val="0"/>
    </w:pPr>
    <w:rPr>
      <w:rFonts w:ascii="黑体" w:hAnsi="Times New Roman" w:eastAsia="黑体" w:cs="Times New Roman"/>
      <w:sz w:val="32"/>
      <w:lang w:val="en-US" w:eastAsia="zh-CN" w:bidi="ar-SA"/>
    </w:rPr>
  </w:style>
  <w:style w:type="paragraph" w:customStyle="1" w:styleId="82">
    <w:name w:val="标准文件_引言一级条标题"/>
    <w:basedOn w:val="63"/>
    <w:next w:val="63"/>
    <w:qFormat/>
    <w:uiPriority w:val="0"/>
    <w:pPr>
      <w:numPr>
        <w:ilvl w:val="1"/>
        <w:numId w:val="4"/>
      </w:numPr>
      <w:spacing w:before="50" w:beforeLines="50" w:after="50" w:afterLines="50"/>
      <w:ind w:left="840" w:hanging="420" w:firstLineChars="0"/>
    </w:pPr>
    <w:rPr>
      <w:rFonts w:ascii="黑体" w:eastAsia="黑体"/>
    </w:rPr>
  </w:style>
  <w:style w:type="paragraph" w:customStyle="1" w:styleId="83">
    <w:name w:val="WPSOffice手动目录 1"/>
    <w:qFormat/>
    <w:uiPriority w:val="0"/>
    <w:rPr>
      <w:rFonts w:asciiTheme="minorHAnsi" w:hAnsiTheme="minorHAnsi" w:eastAsiaTheme="minorEastAsia" w:cstheme="minorBidi"/>
      <w:lang w:val="en-US" w:eastAsia="zh-CN" w:bidi="ar-SA"/>
    </w:rPr>
  </w:style>
  <w:style w:type="paragraph" w:customStyle="1" w:styleId="84">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85">
    <w:name w:val="font01"/>
    <w:basedOn w:val="35"/>
    <w:qFormat/>
    <w:uiPriority w:val="0"/>
    <w:rPr>
      <w:rFonts w:hint="eastAsia" w:ascii="宋体" w:hAnsi="宋体" w:eastAsia="宋体" w:cs="宋体"/>
      <w:color w:val="000000"/>
      <w:sz w:val="22"/>
      <w:szCs w:val="22"/>
      <w:u w:val="none"/>
    </w:rPr>
  </w:style>
  <w:style w:type="character" w:customStyle="1" w:styleId="86">
    <w:name w:val="标题 3 Char1"/>
    <w:basedOn w:val="35"/>
    <w:qFormat/>
    <w:uiPriority w:val="9"/>
    <w:rPr>
      <w:rFonts w:ascii="Times New Roman" w:hAnsi="Times New Roman" w:eastAsia="宋体"/>
      <w:bCs/>
      <w:szCs w:val="32"/>
    </w:rPr>
  </w:style>
  <w:style w:type="character" w:customStyle="1" w:styleId="87">
    <w:name w:val="标题 3 Char2"/>
    <w:basedOn w:val="35"/>
    <w:qFormat/>
    <w:uiPriority w:val="9"/>
    <w:rPr>
      <w:rFonts w:cstheme="minorBidi"/>
      <w:bCs/>
      <w:kern w:val="2"/>
      <w:sz w:val="21"/>
      <w:szCs w:val="32"/>
    </w:rPr>
  </w:style>
  <w:style w:type="table" w:customStyle="1" w:styleId="88">
    <w:name w:val="网格型1"/>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3"/>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2"/>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4"/>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6"/>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
    <w:name w:val="表题注"/>
    <w:basedOn w:val="12"/>
    <w:qFormat/>
    <w:uiPriority w:val="0"/>
    <w:pPr>
      <w:keepNext/>
      <w:adjustRightInd/>
      <w:snapToGrid/>
      <w:spacing w:line="400" w:lineRule="atLeast"/>
      <w:ind w:firstLine="0" w:firstLineChars="0"/>
      <w:jc w:val="center"/>
    </w:pPr>
    <w:rPr>
      <w:rFonts w:ascii="Times New Roman" w:hAnsi="Times New Roman" w:eastAsia="宋体"/>
      <w:sz w:val="21"/>
    </w:rPr>
  </w:style>
  <w:style w:type="character" w:customStyle="1" w:styleId="94">
    <w:name w:val="标题 3 Char3"/>
    <w:basedOn w:val="35"/>
    <w:link w:val="4"/>
    <w:qFormat/>
    <w:uiPriority w:val="9"/>
    <w:rPr>
      <w:rFonts w:cstheme="minorBidi"/>
      <w:bCs/>
      <w:kern w:val="2"/>
      <w:sz w:val="21"/>
      <w:szCs w:val="32"/>
    </w:rPr>
  </w:style>
  <w:style w:type="paragraph" w:customStyle="1" w:styleId="9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96">
    <w:name w:val="标准文件_文件编号"/>
    <w:basedOn w:val="63"/>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97">
    <w:name w:val="标准文件_替换文件编号"/>
    <w:basedOn w:val="96"/>
    <w:qFormat/>
    <w:uiPriority w:val="0"/>
    <w:pPr>
      <w:framePr/>
      <w:spacing w:before="57"/>
    </w:pPr>
    <w:rPr>
      <w:sz w:val="21"/>
    </w:rPr>
  </w:style>
  <w:style w:type="paragraph" w:customStyle="1" w:styleId="98">
    <w:name w:val="标准文件_文件名称"/>
    <w:basedOn w:val="63"/>
    <w:next w:val="63"/>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9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00">
    <w:name w:val="其他发布日期"/>
    <w:basedOn w:val="64"/>
    <w:qFormat/>
    <w:uiPriority w:val="0"/>
    <w:pPr>
      <w:framePr w:w="3997" w:h="471" w:hRule="exact" w:hSpace="0" w:vSpace="181" w:vAnchor="page" w:hAnchor="page" w:x="1419" w:y="14097"/>
    </w:pPr>
  </w:style>
  <w:style w:type="paragraph" w:customStyle="1" w:styleId="101">
    <w:name w:val="其他实施日期"/>
    <w:basedOn w:val="72"/>
    <w:qFormat/>
    <w:uiPriority w:val="0"/>
    <w:pPr>
      <w:framePr w:w="3997" w:h="471" w:hRule="exact" w:vSpace="181" w:vAnchor="page" w:hAnchor="page" w:x="7089" w:y="14097"/>
    </w:pPr>
  </w:style>
  <w:style w:type="paragraph" w:customStyle="1" w:styleId="10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03">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04">
    <w:name w:val="标准文件_章标题"/>
    <w:next w:val="63"/>
    <w:qFormat/>
    <w:uiPriority w:val="0"/>
    <w:pPr>
      <w:numPr>
        <w:ilvl w:val="1"/>
        <w:numId w:val="5"/>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10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107">
    <w:name w:val="三级标题"/>
    <w:next w:val="63"/>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108">
    <w:name w:val="一级标题"/>
    <w:next w:val="63"/>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9">
    <w:name w:val="二级标题"/>
    <w:basedOn w:val="108"/>
    <w:next w:val="63"/>
    <w:qFormat/>
    <w:uiPriority w:val="0"/>
    <w:pPr>
      <w:numPr>
        <w:ilvl w:val="2"/>
      </w:numPr>
      <w:spacing w:before="50" w:beforeLines="50" w:after="50" w:afterLines="50"/>
      <w:outlineLvl w:val="1"/>
    </w:pPr>
  </w:style>
  <w:style w:type="paragraph" w:customStyle="1" w:styleId="110">
    <w:name w:val="TOC 标题2"/>
    <w:basedOn w:val="2"/>
    <w:next w:val="1"/>
    <w:unhideWhenUsed/>
    <w:qFormat/>
    <w:uiPriority w:val="39"/>
    <w:pPr>
      <w:widowControl/>
      <w:numPr>
        <w:numId w:val="0"/>
      </w:numPr>
      <w:adjustRightInd/>
      <w:snapToGrid/>
      <w:spacing w:before="240" w:beforeLines="0" w:after="0" w:afterLines="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11">
    <w:name w:val="TOC 标题3"/>
    <w:basedOn w:val="2"/>
    <w:next w:val="1"/>
    <w:unhideWhenUsed/>
    <w:qFormat/>
    <w:uiPriority w:val="39"/>
    <w:pPr>
      <w:widowControl/>
      <w:numPr>
        <w:numId w:val="0"/>
      </w:numPr>
      <w:adjustRightInd/>
      <w:snapToGrid/>
      <w:spacing w:before="240" w:beforeLines="0" w:after="0" w:afterLines="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12">
    <w:name w:val="标题 4 Char"/>
    <w:basedOn w:val="35"/>
    <w:link w:val="5"/>
    <w:qFormat/>
    <w:uiPriority w:val="1"/>
    <w:rPr>
      <w:rFonts w:ascii="宋体" w:cs="宋体"/>
      <w:sz w:val="21"/>
      <w:szCs w:val="40"/>
    </w:rPr>
  </w:style>
  <w:style w:type="character" w:customStyle="1" w:styleId="113">
    <w:name w:val="标题 5 Char"/>
    <w:basedOn w:val="35"/>
    <w:link w:val="6"/>
    <w:qFormat/>
    <w:uiPriority w:val="1"/>
    <w:rPr>
      <w:rFonts w:eastAsiaTheme="minorEastAsia"/>
      <w:sz w:val="32"/>
      <w:szCs w:val="32"/>
    </w:rPr>
  </w:style>
  <w:style w:type="character" w:customStyle="1" w:styleId="114">
    <w:name w:val="标题 6 Char"/>
    <w:basedOn w:val="35"/>
    <w:link w:val="7"/>
    <w:qFormat/>
    <w:uiPriority w:val="1"/>
    <w:rPr>
      <w:rFonts w:ascii="宋体" w:cs="宋体"/>
      <w:sz w:val="31"/>
      <w:szCs w:val="31"/>
    </w:rPr>
  </w:style>
  <w:style w:type="character" w:customStyle="1" w:styleId="115">
    <w:name w:val="标题 7 Char"/>
    <w:basedOn w:val="35"/>
    <w:link w:val="8"/>
    <w:qFormat/>
    <w:uiPriority w:val="1"/>
    <w:rPr>
      <w:rFonts w:ascii="宋体" w:cs="宋体"/>
      <w:sz w:val="30"/>
      <w:szCs w:val="30"/>
    </w:rPr>
  </w:style>
  <w:style w:type="character" w:customStyle="1" w:styleId="116">
    <w:name w:val="标题 8 Char"/>
    <w:basedOn w:val="35"/>
    <w:link w:val="9"/>
    <w:qFormat/>
    <w:uiPriority w:val="1"/>
    <w:rPr>
      <w:rFonts w:ascii="宋体" w:cs="宋体"/>
      <w:sz w:val="29"/>
      <w:szCs w:val="29"/>
    </w:rPr>
  </w:style>
  <w:style w:type="character" w:customStyle="1" w:styleId="117">
    <w:name w:val="标题 9 Char"/>
    <w:basedOn w:val="35"/>
    <w:link w:val="10"/>
    <w:qFormat/>
    <w:uiPriority w:val="1"/>
    <w:rPr>
      <w:rFonts w:ascii="宋体" w:cs="宋体"/>
      <w:sz w:val="28"/>
      <w:szCs w:val="28"/>
    </w:rPr>
  </w:style>
  <w:style w:type="character" w:customStyle="1" w:styleId="118">
    <w:name w:val="文档结构图 Char"/>
    <w:basedOn w:val="35"/>
    <w:link w:val="13"/>
    <w:qFormat/>
    <w:uiPriority w:val="99"/>
    <w:rPr>
      <w:kern w:val="2"/>
      <w:sz w:val="24"/>
      <w:szCs w:val="24"/>
      <w:shd w:val="clear" w:color="auto" w:fill="000080"/>
    </w:rPr>
  </w:style>
  <w:style w:type="paragraph" w:customStyle="1" w:styleId="119">
    <w:name w:val="章标题"/>
    <w:basedOn w:val="1"/>
    <w:qFormat/>
    <w:uiPriority w:val="0"/>
    <w:pPr>
      <w:adjustRightInd/>
      <w:snapToGrid/>
      <w:spacing w:before="50" w:beforeLines="50" w:after="50" w:afterLines="50" w:line="240" w:lineRule="auto"/>
      <w:ind w:firstLine="0" w:firstLineChars="0"/>
      <w:jc w:val="center"/>
      <w:outlineLvl w:val="0"/>
    </w:pPr>
    <w:rPr>
      <w:rFonts w:eastAsia="黑体" w:cs="Times New Roman"/>
      <w:b/>
      <w:sz w:val="32"/>
      <w:szCs w:val="36"/>
    </w:rPr>
  </w:style>
  <w:style w:type="paragraph" w:customStyle="1" w:styleId="120">
    <w:name w:val="Table Paragraph"/>
    <w:basedOn w:val="1"/>
    <w:qFormat/>
    <w:uiPriority w:val="1"/>
    <w:pPr>
      <w:numPr>
        <w:ilvl w:val="0"/>
        <w:numId w:val="6"/>
      </w:numPr>
      <w:autoSpaceDE w:val="0"/>
      <w:autoSpaceDN w:val="0"/>
      <w:snapToGrid/>
      <w:spacing w:line="240" w:lineRule="auto"/>
      <w:ind w:firstLineChars="0"/>
      <w:jc w:val="left"/>
    </w:pPr>
    <w:rPr>
      <w:rFonts w:cs="Times New Roman" w:eastAsiaTheme="minorEastAsia"/>
      <w:kern w:val="0"/>
      <w:sz w:val="24"/>
      <w:szCs w:val="24"/>
    </w:rPr>
  </w:style>
  <w:style w:type="paragraph" w:customStyle="1" w:styleId="121">
    <w:name w:val="标准文件_附录标识"/>
    <w:next w:val="63"/>
    <w:qFormat/>
    <w:uiPriority w:val="0"/>
    <w:pPr>
      <w:numPr>
        <w:ilvl w:val="0"/>
        <w:numId w:val="7"/>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122">
    <w:name w:val="标准文件_附录表标题"/>
    <w:next w:val="63"/>
    <w:qFormat/>
    <w:uiPriority w:val="0"/>
    <w:pPr>
      <w:numPr>
        <w:ilvl w:val="1"/>
        <w:numId w:val="8"/>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123">
    <w:name w:val="标准文件_附录一级条标题"/>
    <w:next w:val="63"/>
    <w:qFormat/>
    <w:uiPriority w:val="0"/>
    <w:pPr>
      <w:widowControl w:val="0"/>
      <w:numPr>
        <w:ilvl w:val="1"/>
        <w:numId w:val="7"/>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124">
    <w:name w:val="标准文件_附录二级条标题"/>
    <w:basedOn w:val="123"/>
    <w:next w:val="63"/>
    <w:qFormat/>
    <w:uiPriority w:val="0"/>
    <w:pPr>
      <w:widowControl/>
      <w:numPr>
        <w:ilvl w:val="2"/>
      </w:numPr>
      <w:wordWrap w:val="0"/>
      <w:overflowPunct w:val="0"/>
      <w:autoSpaceDE w:val="0"/>
      <w:autoSpaceDN w:val="0"/>
      <w:textAlignment w:val="baseline"/>
      <w:outlineLvl w:val="3"/>
    </w:pPr>
  </w:style>
  <w:style w:type="paragraph" w:customStyle="1" w:styleId="125">
    <w:name w:val="标准文件_附录三级条标题"/>
    <w:next w:val="63"/>
    <w:qFormat/>
    <w:uiPriority w:val="0"/>
    <w:pPr>
      <w:widowControl w:val="0"/>
      <w:numPr>
        <w:ilvl w:val="3"/>
        <w:numId w:val="7"/>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126">
    <w:name w:val="标准文件_附录四级条标题"/>
    <w:next w:val="63"/>
    <w:qFormat/>
    <w:uiPriority w:val="0"/>
    <w:pPr>
      <w:widowControl w:val="0"/>
      <w:numPr>
        <w:ilvl w:val="4"/>
        <w:numId w:val="7"/>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127">
    <w:name w:val="标准文件_附录五级条标题"/>
    <w:next w:val="63"/>
    <w:qFormat/>
    <w:uiPriority w:val="0"/>
    <w:pPr>
      <w:widowControl w:val="0"/>
      <w:numPr>
        <w:ilvl w:val="5"/>
        <w:numId w:val="7"/>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128">
    <w:name w:val="标准文件_附录表标号"/>
    <w:basedOn w:val="63"/>
    <w:next w:val="63"/>
    <w:qFormat/>
    <w:uiPriority w:val="0"/>
    <w:pPr>
      <w:numPr>
        <w:ilvl w:val="0"/>
        <w:numId w:val="8"/>
      </w:numPr>
      <w:tabs>
        <w:tab w:val="left" w:pos="360"/>
      </w:tabs>
      <w:spacing w:line="14" w:lineRule="exact"/>
      <w:ind w:left="0" w:firstLine="0" w:firstLineChars="0"/>
      <w:jc w:val="center"/>
    </w:pPr>
    <w:rPr>
      <w:rFonts w:eastAsia="黑体"/>
      <w:vanish/>
      <w:sz w:val="2"/>
    </w:rPr>
  </w:style>
  <w:style w:type="table" w:customStyle="1" w:styleId="129">
    <w:name w:val="Table Normal11"/>
    <w:basedOn w:val="33"/>
    <w:qFormat/>
    <w:uiPriority w:val="0"/>
    <w:rPr>
      <w:rFonts w:eastAsia="Times New Roman"/>
    </w:rPr>
    <w:tblPr>
      <w:tblCellMar>
        <w:left w:w="0" w:type="dxa"/>
        <w:right w:w="0" w:type="dxa"/>
      </w:tblCellMar>
    </w:tblPr>
  </w:style>
  <w:style w:type="character" w:customStyle="1" w:styleId="130">
    <w:name w:val="不明显参考1"/>
    <w:qFormat/>
    <w:uiPriority w:val="31"/>
    <w:rPr>
      <w:smallCaps/>
      <w:color w:val="C0504D"/>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49.png"/><Relationship Id="rId98" Type="http://schemas.openxmlformats.org/officeDocument/2006/relationships/image" Target="media/image48.png"/><Relationship Id="rId97" Type="http://schemas.openxmlformats.org/officeDocument/2006/relationships/image" Target="media/image47.wmf"/><Relationship Id="rId96" Type="http://schemas.openxmlformats.org/officeDocument/2006/relationships/oleObject" Target="embeddings/oleObject35.bin"/><Relationship Id="rId95" Type="http://schemas.openxmlformats.org/officeDocument/2006/relationships/image" Target="media/image46.wmf"/><Relationship Id="rId94" Type="http://schemas.openxmlformats.org/officeDocument/2006/relationships/oleObject" Target="embeddings/oleObject34.bin"/><Relationship Id="rId93" Type="http://schemas.openxmlformats.org/officeDocument/2006/relationships/image" Target="media/image45.wmf"/><Relationship Id="rId92" Type="http://schemas.openxmlformats.org/officeDocument/2006/relationships/oleObject" Target="embeddings/oleObject33.bin"/><Relationship Id="rId91" Type="http://schemas.openxmlformats.org/officeDocument/2006/relationships/image" Target="media/image44.wmf"/><Relationship Id="rId90" Type="http://schemas.openxmlformats.org/officeDocument/2006/relationships/oleObject" Target="embeddings/oleObject32.bin"/><Relationship Id="rId9" Type="http://schemas.openxmlformats.org/officeDocument/2006/relationships/footer" Target="footer2.xml"/><Relationship Id="rId89" Type="http://schemas.openxmlformats.org/officeDocument/2006/relationships/image" Target="media/image43.wmf"/><Relationship Id="rId88" Type="http://schemas.openxmlformats.org/officeDocument/2006/relationships/oleObject" Target="embeddings/oleObject31.bin"/><Relationship Id="rId87" Type="http://schemas.openxmlformats.org/officeDocument/2006/relationships/image" Target="media/image42.wmf"/><Relationship Id="rId86" Type="http://schemas.openxmlformats.org/officeDocument/2006/relationships/oleObject" Target="embeddings/oleObject30.bin"/><Relationship Id="rId85" Type="http://schemas.openxmlformats.org/officeDocument/2006/relationships/image" Target="media/image41.wmf"/><Relationship Id="rId84" Type="http://schemas.openxmlformats.org/officeDocument/2006/relationships/oleObject" Target="embeddings/oleObject29.bin"/><Relationship Id="rId83" Type="http://schemas.openxmlformats.org/officeDocument/2006/relationships/image" Target="media/image40.wmf"/><Relationship Id="rId82" Type="http://schemas.openxmlformats.org/officeDocument/2006/relationships/oleObject" Target="embeddings/oleObject28.bin"/><Relationship Id="rId81" Type="http://schemas.openxmlformats.org/officeDocument/2006/relationships/image" Target="media/image39.wmf"/><Relationship Id="rId80" Type="http://schemas.openxmlformats.org/officeDocument/2006/relationships/oleObject" Target="embeddings/oleObject27.bin"/><Relationship Id="rId8" Type="http://schemas.openxmlformats.org/officeDocument/2006/relationships/footer" Target="footer1.xml"/><Relationship Id="rId79" Type="http://schemas.openxmlformats.org/officeDocument/2006/relationships/image" Target="media/image38.wmf"/><Relationship Id="rId78" Type="http://schemas.openxmlformats.org/officeDocument/2006/relationships/oleObject" Target="embeddings/oleObject26.bin"/><Relationship Id="rId77" Type="http://schemas.openxmlformats.org/officeDocument/2006/relationships/image" Target="media/image37.wmf"/><Relationship Id="rId76" Type="http://schemas.openxmlformats.org/officeDocument/2006/relationships/oleObject" Target="embeddings/oleObject25.bin"/><Relationship Id="rId75" Type="http://schemas.openxmlformats.org/officeDocument/2006/relationships/image" Target="media/image36.wmf"/><Relationship Id="rId74" Type="http://schemas.openxmlformats.org/officeDocument/2006/relationships/oleObject" Target="embeddings/oleObject24.bin"/><Relationship Id="rId73" Type="http://schemas.openxmlformats.org/officeDocument/2006/relationships/image" Target="media/image35.wmf"/><Relationship Id="rId72" Type="http://schemas.openxmlformats.org/officeDocument/2006/relationships/oleObject" Target="embeddings/oleObject23.bin"/><Relationship Id="rId71" Type="http://schemas.openxmlformats.org/officeDocument/2006/relationships/image" Target="media/image34.wmf"/><Relationship Id="rId70" Type="http://schemas.openxmlformats.org/officeDocument/2006/relationships/oleObject" Target="embeddings/oleObject22.bin"/><Relationship Id="rId7" Type="http://schemas.openxmlformats.org/officeDocument/2006/relationships/header" Target="header3.xml"/><Relationship Id="rId69" Type="http://schemas.openxmlformats.org/officeDocument/2006/relationships/image" Target="media/image33.wmf"/><Relationship Id="rId68" Type="http://schemas.openxmlformats.org/officeDocument/2006/relationships/oleObject" Target="embeddings/oleObject21.bin"/><Relationship Id="rId67" Type="http://schemas.openxmlformats.org/officeDocument/2006/relationships/image" Target="media/image32.wmf"/><Relationship Id="rId66" Type="http://schemas.openxmlformats.org/officeDocument/2006/relationships/oleObject" Target="embeddings/oleObject20.bin"/><Relationship Id="rId65" Type="http://schemas.openxmlformats.org/officeDocument/2006/relationships/image" Target="media/image31.wmf"/><Relationship Id="rId64" Type="http://schemas.openxmlformats.org/officeDocument/2006/relationships/oleObject" Target="embeddings/oleObject19.bin"/><Relationship Id="rId63" Type="http://schemas.openxmlformats.org/officeDocument/2006/relationships/image" Target="media/image30.wmf"/><Relationship Id="rId62" Type="http://schemas.openxmlformats.org/officeDocument/2006/relationships/oleObject" Target="embeddings/oleObject18.bin"/><Relationship Id="rId61" Type="http://schemas.openxmlformats.org/officeDocument/2006/relationships/image" Target="media/image29.wmf"/><Relationship Id="rId60" Type="http://schemas.openxmlformats.org/officeDocument/2006/relationships/oleObject" Target="embeddings/oleObject17.bin"/><Relationship Id="rId6" Type="http://schemas.openxmlformats.org/officeDocument/2006/relationships/header" Target="header2.xml"/><Relationship Id="rId59" Type="http://schemas.openxmlformats.org/officeDocument/2006/relationships/image" Target="media/image28.wmf"/><Relationship Id="rId58" Type="http://schemas.openxmlformats.org/officeDocument/2006/relationships/oleObject" Target="embeddings/oleObject16.bin"/><Relationship Id="rId57" Type="http://schemas.openxmlformats.org/officeDocument/2006/relationships/image" Target="media/image27.wmf"/><Relationship Id="rId56" Type="http://schemas.openxmlformats.org/officeDocument/2006/relationships/oleObject" Target="embeddings/oleObject15.bin"/><Relationship Id="rId55" Type="http://schemas.openxmlformats.org/officeDocument/2006/relationships/image" Target="media/image26.wmf"/><Relationship Id="rId54" Type="http://schemas.openxmlformats.org/officeDocument/2006/relationships/oleObject" Target="embeddings/oleObject14.bin"/><Relationship Id="rId53" Type="http://schemas.openxmlformats.org/officeDocument/2006/relationships/image" Target="media/image25.wmf"/><Relationship Id="rId52" Type="http://schemas.openxmlformats.org/officeDocument/2006/relationships/oleObject" Target="embeddings/oleObject13.bin"/><Relationship Id="rId51" Type="http://schemas.openxmlformats.org/officeDocument/2006/relationships/image" Target="media/image24.wmf"/><Relationship Id="rId50" Type="http://schemas.openxmlformats.org/officeDocument/2006/relationships/oleObject" Target="embeddings/oleObject12.bin"/><Relationship Id="rId5" Type="http://schemas.openxmlformats.org/officeDocument/2006/relationships/header" Target="header1.xml"/><Relationship Id="rId49" Type="http://schemas.openxmlformats.org/officeDocument/2006/relationships/image" Target="media/image23.wmf"/><Relationship Id="rId48" Type="http://schemas.openxmlformats.org/officeDocument/2006/relationships/oleObject" Target="embeddings/oleObject11.bin"/><Relationship Id="rId47" Type="http://schemas.openxmlformats.org/officeDocument/2006/relationships/image" Target="media/image22.wmf"/><Relationship Id="rId46" Type="http://schemas.openxmlformats.org/officeDocument/2006/relationships/oleObject" Target="embeddings/oleObject10.bin"/><Relationship Id="rId45" Type="http://schemas.openxmlformats.org/officeDocument/2006/relationships/image" Target="media/image21.wmf"/><Relationship Id="rId44" Type="http://schemas.openxmlformats.org/officeDocument/2006/relationships/oleObject" Target="embeddings/oleObject9.bin"/><Relationship Id="rId43" Type="http://schemas.openxmlformats.org/officeDocument/2006/relationships/image" Target="media/image20.png"/><Relationship Id="rId42" Type="http://schemas.openxmlformats.org/officeDocument/2006/relationships/image" Target="media/image19.png"/><Relationship Id="rId418" Type="http://schemas.openxmlformats.org/officeDocument/2006/relationships/fontTable" Target="fontTable.xml"/><Relationship Id="rId417" Type="http://schemas.openxmlformats.org/officeDocument/2006/relationships/numbering" Target="numbering.xml"/><Relationship Id="rId416" Type="http://schemas.openxmlformats.org/officeDocument/2006/relationships/customXml" Target="../customXml/item1.xml"/><Relationship Id="rId415" Type="http://schemas.openxmlformats.org/officeDocument/2006/relationships/image" Target="media/image206.png"/><Relationship Id="rId414" Type="http://schemas.openxmlformats.org/officeDocument/2006/relationships/image" Target="media/image205.png"/><Relationship Id="rId413" Type="http://schemas.openxmlformats.org/officeDocument/2006/relationships/image" Target="media/image204.wmf"/><Relationship Id="rId412" Type="http://schemas.openxmlformats.org/officeDocument/2006/relationships/oleObject" Target="embeddings/oleObject194.bin"/><Relationship Id="rId411" Type="http://schemas.openxmlformats.org/officeDocument/2006/relationships/image" Target="media/image203.png"/><Relationship Id="rId410" Type="http://schemas.openxmlformats.org/officeDocument/2006/relationships/image" Target="media/image202.emf"/><Relationship Id="rId41" Type="http://schemas.openxmlformats.org/officeDocument/2006/relationships/image" Target="media/image18.png"/><Relationship Id="rId409" Type="http://schemas.openxmlformats.org/officeDocument/2006/relationships/image" Target="media/image201.emf"/><Relationship Id="rId408" Type="http://schemas.openxmlformats.org/officeDocument/2006/relationships/image" Target="media/image200.emf"/><Relationship Id="rId407" Type="http://schemas.openxmlformats.org/officeDocument/2006/relationships/image" Target="media/image199.emf"/><Relationship Id="rId406" Type="http://schemas.openxmlformats.org/officeDocument/2006/relationships/image" Target="media/image198.wmf"/><Relationship Id="rId405" Type="http://schemas.openxmlformats.org/officeDocument/2006/relationships/oleObject" Target="embeddings/oleObject193.bin"/><Relationship Id="rId404" Type="http://schemas.openxmlformats.org/officeDocument/2006/relationships/image" Target="media/image197.wmf"/><Relationship Id="rId403" Type="http://schemas.openxmlformats.org/officeDocument/2006/relationships/oleObject" Target="embeddings/oleObject192.bin"/><Relationship Id="rId402" Type="http://schemas.openxmlformats.org/officeDocument/2006/relationships/image" Target="media/image196.wmf"/><Relationship Id="rId401" Type="http://schemas.openxmlformats.org/officeDocument/2006/relationships/oleObject" Target="embeddings/oleObject191.bin"/><Relationship Id="rId400" Type="http://schemas.openxmlformats.org/officeDocument/2006/relationships/image" Target="media/image195.wmf"/><Relationship Id="rId40" Type="http://schemas.openxmlformats.org/officeDocument/2006/relationships/image" Target="media/image17.png"/><Relationship Id="rId4" Type="http://schemas.openxmlformats.org/officeDocument/2006/relationships/endnotes" Target="endnotes.xml"/><Relationship Id="rId399" Type="http://schemas.openxmlformats.org/officeDocument/2006/relationships/oleObject" Target="embeddings/oleObject190.bin"/><Relationship Id="rId398" Type="http://schemas.openxmlformats.org/officeDocument/2006/relationships/image" Target="media/image194.wmf"/><Relationship Id="rId397" Type="http://schemas.openxmlformats.org/officeDocument/2006/relationships/oleObject" Target="embeddings/oleObject189.bin"/><Relationship Id="rId396" Type="http://schemas.openxmlformats.org/officeDocument/2006/relationships/oleObject" Target="embeddings/oleObject188.bin"/><Relationship Id="rId395" Type="http://schemas.openxmlformats.org/officeDocument/2006/relationships/image" Target="media/image193.wmf"/><Relationship Id="rId394" Type="http://schemas.openxmlformats.org/officeDocument/2006/relationships/oleObject" Target="embeddings/oleObject187.bin"/><Relationship Id="rId393" Type="http://schemas.openxmlformats.org/officeDocument/2006/relationships/image" Target="media/image192.emf"/><Relationship Id="rId392" Type="http://schemas.openxmlformats.org/officeDocument/2006/relationships/image" Target="media/image191.emf"/><Relationship Id="rId391" Type="http://schemas.openxmlformats.org/officeDocument/2006/relationships/image" Target="media/image190.emf"/><Relationship Id="rId390" Type="http://schemas.openxmlformats.org/officeDocument/2006/relationships/image" Target="media/image189.wmf"/><Relationship Id="rId39" Type="http://schemas.openxmlformats.org/officeDocument/2006/relationships/image" Target="media/image16.png"/><Relationship Id="rId389" Type="http://schemas.openxmlformats.org/officeDocument/2006/relationships/oleObject" Target="embeddings/oleObject186.bin"/><Relationship Id="rId388" Type="http://schemas.openxmlformats.org/officeDocument/2006/relationships/image" Target="media/image188.wmf"/><Relationship Id="rId387" Type="http://schemas.openxmlformats.org/officeDocument/2006/relationships/oleObject" Target="embeddings/oleObject185.bin"/><Relationship Id="rId386" Type="http://schemas.openxmlformats.org/officeDocument/2006/relationships/image" Target="media/image187.wmf"/><Relationship Id="rId385" Type="http://schemas.openxmlformats.org/officeDocument/2006/relationships/oleObject" Target="embeddings/oleObject184.bin"/><Relationship Id="rId384" Type="http://schemas.openxmlformats.org/officeDocument/2006/relationships/image" Target="media/image186.emf"/><Relationship Id="rId383" Type="http://schemas.openxmlformats.org/officeDocument/2006/relationships/image" Target="media/image185.emf"/><Relationship Id="rId382" Type="http://schemas.openxmlformats.org/officeDocument/2006/relationships/image" Target="media/image184.emf"/><Relationship Id="rId381" Type="http://schemas.openxmlformats.org/officeDocument/2006/relationships/image" Target="media/image183.emf"/><Relationship Id="rId380" Type="http://schemas.openxmlformats.org/officeDocument/2006/relationships/image" Target="media/image182.emf"/><Relationship Id="rId38" Type="http://schemas.openxmlformats.org/officeDocument/2006/relationships/image" Target="media/image15.png"/><Relationship Id="rId379" Type="http://schemas.openxmlformats.org/officeDocument/2006/relationships/image" Target="media/image181.emf"/><Relationship Id="rId378" Type="http://schemas.openxmlformats.org/officeDocument/2006/relationships/image" Target="media/image180.wmf"/><Relationship Id="rId377" Type="http://schemas.openxmlformats.org/officeDocument/2006/relationships/oleObject" Target="embeddings/oleObject183.bin"/><Relationship Id="rId376" Type="http://schemas.openxmlformats.org/officeDocument/2006/relationships/oleObject" Target="embeddings/oleObject182.bin"/><Relationship Id="rId375" Type="http://schemas.openxmlformats.org/officeDocument/2006/relationships/image" Target="media/image179.wmf"/><Relationship Id="rId374" Type="http://schemas.openxmlformats.org/officeDocument/2006/relationships/oleObject" Target="embeddings/oleObject181.bin"/><Relationship Id="rId373" Type="http://schemas.openxmlformats.org/officeDocument/2006/relationships/image" Target="media/image178.wmf"/><Relationship Id="rId372" Type="http://schemas.openxmlformats.org/officeDocument/2006/relationships/oleObject" Target="embeddings/oleObject180.bin"/><Relationship Id="rId371" Type="http://schemas.openxmlformats.org/officeDocument/2006/relationships/image" Target="media/image177.wmf"/><Relationship Id="rId370" Type="http://schemas.openxmlformats.org/officeDocument/2006/relationships/oleObject" Target="embeddings/oleObject179.bin"/><Relationship Id="rId37" Type="http://schemas.openxmlformats.org/officeDocument/2006/relationships/image" Target="media/image14.png"/><Relationship Id="rId369" Type="http://schemas.openxmlformats.org/officeDocument/2006/relationships/image" Target="media/image176.wmf"/><Relationship Id="rId368" Type="http://schemas.openxmlformats.org/officeDocument/2006/relationships/oleObject" Target="embeddings/oleObject178.bin"/><Relationship Id="rId367" Type="http://schemas.openxmlformats.org/officeDocument/2006/relationships/image" Target="media/image175.emf"/><Relationship Id="rId366" Type="http://schemas.openxmlformats.org/officeDocument/2006/relationships/image" Target="media/image174.emf"/><Relationship Id="rId365" Type="http://schemas.openxmlformats.org/officeDocument/2006/relationships/image" Target="media/image173.emf"/><Relationship Id="rId364" Type="http://schemas.openxmlformats.org/officeDocument/2006/relationships/image" Target="media/image172.png"/><Relationship Id="rId363" Type="http://schemas.openxmlformats.org/officeDocument/2006/relationships/image" Target="media/image171.png"/><Relationship Id="rId362" Type="http://schemas.openxmlformats.org/officeDocument/2006/relationships/image" Target="media/image170.emf"/><Relationship Id="rId361" Type="http://schemas.openxmlformats.org/officeDocument/2006/relationships/image" Target="media/image169.emf"/><Relationship Id="rId360" Type="http://schemas.openxmlformats.org/officeDocument/2006/relationships/image" Target="media/image168.emf"/><Relationship Id="rId36" Type="http://schemas.openxmlformats.org/officeDocument/2006/relationships/image" Target="media/image13.emf"/><Relationship Id="rId359" Type="http://schemas.openxmlformats.org/officeDocument/2006/relationships/image" Target="media/image167.png"/><Relationship Id="rId358" Type="http://schemas.openxmlformats.org/officeDocument/2006/relationships/image" Target="media/image166.png"/><Relationship Id="rId357" Type="http://schemas.openxmlformats.org/officeDocument/2006/relationships/image" Target="media/image165.png"/><Relationship Id="rId356" Type="http://schemas.openxmlformats.org/officeDocument/2006/relationships/image" Target="media/image164.png"/><Relationship Id="rId355" Type="http://schemas.openxmlformats.org/officeDocument/2006/relationships/image" Target="media/image163.png"/><Relationship Id="rId354" Type="http://schemas.openxmlformats.org/officeDocument/2006/relationships/image" Target="media/image162.emf"/><Relationship Id="rId353" Type="http://schemas.openxmlformats.org/officeDocument/2006/relationships/image" Target="media/image161.emf"/><Relationship Id="rId352" Type="http://schemas.openxmlformats.org/officeDocument/2006/relationships/image" Target="media/image160.emf"/><Relationship Id="rId351" Type="http://schemas.openxmlformats.org/officeDocument/2006/relationships/image" Target="media/image159.emf"/><Relationship Id="rId350" Type="http://schemas.openxmlformats.org/officeDocument/2006/relationships/image" Target="media/image158.emf"/><Relationship Id="rId35" Type="http://schemas.openxmlformats.org/officeDocument/2006/relationships/image" Target="media/image12.png"/><Relationship Id="rId349" Type="http://schemas.openxmlformats.org/officeDocument/2006/relationships/image" Target="media/image157.wmf"/><Relationship Id="rId348" Type="http://schemas.openxmlformats.org/officeDocument/2006/relationships/oleObject" Target="embeddings/oleObject177.bin"/><Relationship Id="rId347" Type="http://schemas.openxmlformats.org/officeDocument/2006/relationships/image" Target="media/image156.wmf"/><Relationship Id="rId346" Type="http://schemas.openxmlformats.org/officeDocument/2006/relationships/oleObject" Target="embeddings/oleObject176.bin"/><Relationship Id="rId345" Type="http://schemas.openxmlformats.org/officeDocument/2006/relationships/image" Target="media/image155.wmf"/><Relationship Id="rId344" Type="http://schemas.openxmlformats.org/officeDocument/2006/relationships/oleObject" Target="embeddings/oleObject175.bin"/><Relationship Id="rId343" Type="http://schemas.openxmlformats.org/officeDocument/2006/relationships/image" Target="media/image154.wmf"/><Relationship Id="rId342" Type="http://schemas.openxmlformats.org/officeDocument/2006/relationships/oleObject" Target="embeddings/oleObject174.bin"/><Relationship Id="rId341" Type="http://schemas.openxmlformats.org/officeDocument/2006/relationships/image" Target="media/image153.wmf"/><Relationship Id="rId340" Type="http://schemas.openxmlformats.org/officeDocument/2006/relationships/oleObject" Target="embeddings/oleObject173.bin"/><Relationship Id="rId34" Type="http://schemas.openxmlformats.org/officeDocument/2006/relationships/image" Target="media/image11.png"/><Relationship Id="rId339" Type="http://schemas.openxmlformats.org/officeDocument/2006/relationships/image" Target="media/image152.wmf"/><Relationship Id="rId338" Type="http://schemas.openxmlformats.org/officeDocument/2006/relationships/oleObject" Target="embeddings/oleObject172.bin"/><Relationship Id="rId337" Type="http://schemas.openxmlformats.org/officeDocument/2006/relationships/image" Target="media/image151.wmf"/><Relationship Id="rId336" Type="http://schemas.openxmlformats.org/officeDocument/2006/relationships/oleObject" Target="embeddings/oleObject171.bin"/><Relationship Id="rId335" Type="http://schemas.openxmlformats.org/officeDocument/2006/relationships/image" Target="media/image150.wmf"/><Relationship Id="rId334" Type="http://schemas.openxmlformats.org/officeDocument/2006/relationships/oleObject" Target="embeddings/oleObject170.bin"/><Relationship Id="rId333" Type="http://schemas.openxmlformats.org/officeDocument/2006/relationships/image" Target="media/image149.wmf"/><Relationship Id="rId332" Type="http://schemas.openxmlformats.org/officeDocument/2006/relationships/oleObject" Target="embeddings/oleObject169.bin"/><Relationship Id="rId331" Type="http://schemas.openxmlformats.org/officeDocument/2006/relationships/image" Target="media/image148.wmf"/><Relationship Id="rId330" Type="http://schemas.openxmlformats.org/officeDocument/2006/relationships/oleObject" Target="embeddings/oleObject168.bin"/><Relationship Id="rId33" Type="http://schemas.openxmlformats.org/officeDocument/2006/relationships/image" Target="media/image10.wmf"/><Relationship Id="rId329" Type="http://schemas.openxmlformats.org/officeDocument/2006/relationships/image" Target="media/image147.wmf"/><Relationship Id="rId328" Type="http://schemas.openxmlformats.org/officeDocument/2006/relationships/oleObject" Target="embeddings/oleObject167.bin"/><Relationship Id="rId327" Type="http://schemas.openxmlformats.org/officeDocument/2006/relationships/image" Target="media/image146.wmf"/><Relationship Id="rId326" Type="http://schemas.openxmlformats.org/officeDocument/2006/relationships/oleObject" Target="embeddings/oleObject166.bin"/><Relationship Id="rId325" Type="http://schemas.openxmlformats.org/officeDocument/2006/relationships/image" Target="media/image145.wmf"/><Relationship Id="rId324" Type="http://schemas.openxmlformats.org/officeDocument/2006/relationships/oleObject" Target="embeddings/oleObject165.bin"/><Relationship Id="rId323" Type="http://schemas.openxmlformats.org/officeDocument/2006/relationships/image" Target="media/image144.wmf"/><Relationship Id="rId322" Type="http://schemas.openxmlformats.org/officeDocument/2006/relationships/oleObject" Target="embeddings/oleObject164.bin"/><Relationship Id="rId321" Type="http://schemas.openxmlformats.org/officeDocument/2006/relationships/image" Target="media/image143.wmf"/><Relationship Id="rId320" Type="http://schemas.openxmlformats.org/officeDocument/2006/relationships/oleObject" Target="embeddings/oleObject163.bin"/><Relationship Id="rId32" Type="http://schemas.openxmlformats.org/officeDocument/2006/relationships/oleObject" Target="embeddings/oleObject8.bin"/><Relationship Id="rId319" Type="http://schemas.openxmlformats.org/officeDocument/2006/relationships/image" Target="media/image142.wmf"/><Relationship Id="rId318" Type="http://schemas.openxmlformats.org/officeDocument/2006/relationships/oleObject" Target="embeddings/oleObject162.bin"/><Relationship Id="rId317" Type="http://schemas.openxmlformats.org/officeDocument/2006/relationships/image" Target="media/image141.wmf"/><Relationship Id="rId316" Type="http://schemas.openxmlformats.org/officeDocument/2006/relationships/oleObject" Target="embeddings/oleObject161.bin"/><Relationship Id="rId315" Type="http://schemas.openxmlformats.org/officeDocument/2006/relationships/image" Target="media/image140.wmf"/><Relationship Id="rId314" Type="http://schemas.openxmlformats.org/officeDocument/2006/relationships/oleObject" Target="embeddings/oleObject160.bin"/><Relationship Id="rId313" Type="http://schemas.openxmlformats.org/officeDocument/2006/relationships/image" Target="media/image139.wmf"/><Relationship Id="rId312" Type="http://schemas.openxmlformats.org/officeDocument/2006/relationships/oleObject" Target="embeddings/oleObject159.bin"/><Relationship Id="rId311" Type="http://schemas.openxmlformats.org/officeDocument/2006/relationships/image" Target="media/image138.wmf"/><Relationship Id="rId310" Type="http://schemas.openxmlformats.org/officeDocument/2006/relationships/oleObject" Target="embeddings/oleObject158.bin"/><Relationship Id="rId31" Type="http://schemas.openxmlformats.org/officeDocument/2006/relationships/image" Target="media/image9.wmf"/><Relationship Id="rId309" Type="http://schemas.openxmlformats.org/officeDocument/2006/relationships/image" Target="media/image137.wmf"/><Relationship Id="rId308" Type="http://schemas.openxmlformats.org/officeDocument/2006/relationships/oleObject" Target="embeddings/oleObject157.bin"/><Relationship Id="rId307" Type="http://schemas.openxmlformats.org/officeDocument/2006/relationships/image" Target="media/image136.wmf"/><Relationship Id="rId306" Type="http://schemas.openxmlformats.org/officeDocument/2006/relationships/oleObject" Target="embeddings/oleObject156.bin"/><Relationship Id="rId305" Type="http://schemas.openxmlformats.org/officeDocument/2006/relationships/image" Target="media/image135.wmf"/><Relationship Id="rId304" Type="http://schemas.openxmlformats.org/officeDocument/2006/relationships/oleObject" Target="embeddings/oleObject155.bin"/><Relationship Id="rId303" Type="http://schemas.openxmlformats.org/officeDocument/2006/relationships/image" Target="media/image134.wmf"/><Relationship Id="rId302" Type="http://schemas.openxmlformats.org/officeDocument/2006/relationships/oleObject" Target="embeddings/oleObject154.bin"/><Relationship Id="rId301" Type="http://schemas.openxmlformats.org/officeDocument/2006/relationships/image" Target="media/image133.wmf"/><Relationship Id="rId300" Type="http://schemas.openxmlformats.org/officeDocument/2006/relationships/oleObject" Target="embeddings/oleObject153.bin"/><Relationship Id="rId30" Type="http://schemas.openxmlformats.org/officeDocument/2006/relationships/oleObject" Target="embeddings/oleObject7.bin"/><Relationship Id="rId3" Type="http://schemas.openxmlformats.org/officeDocument/2006/relationships/footnotes" Target="footnotes.xml"/><Relationship Id="rId299" Type="http://schemas.openxmlformats.org/officeDocument/2006/relationships/image" Target="media/image132.wmf"/><Relationship Id="rId298" Type="http://schemas.openxmlformats.org/officeDocument/2006/relationships/oleObject" Target="embeddings/oleObject152.bin"/><Relationship Id="rId297" Type="http://schemas.openxmlformats.org/officeDocument/2006/relationships/image" Target="media/image131.wmf"/><Relationship Id="rId296" Type="http://schemas.openxmlformats.org/officeDocument/2006/relationships/oleObject" Target="embeddings/oleObject151.bin"/><Relationship Id="rId295" Type="http://schemas.openxmlformats.org/officeDocument/2006/relationships/oleObject" Target="embeddings/oleObject150.bin"/><Relationship Id="rId294" Type="http://schemas.openxmlformats.org/officeDocument/2006/relationships/oleObject" Target="embeddings/oleObject149.bin"/><Relationship Id="rId293" Type="http://schemas.openxmlformats.org/officeDocument/2006/relationships/oleObject" Target="embeddings/oleObject148.bin"/><Relationship Id="rId292" Type="http://schemas.openxmlformats.org/officeDocument/2006/relationships/oleObject" Target="embeddings/oleObject147.bin"/><Relationship Id="rId291" Type="http://schemas.openxmlformats.org/officeDocument/2006/relationships/image" Target="media/image130.wmf"/><Relationship Id="rId290" Type="http://schemas.openxmlformats.org/officeDocument/2006/relationships/oleObject" Target="embeddings/oleObject146.bin"/><Relationship Id="rId29" Type="http://schemas.openxmlformats.org/officeDocument/2006/relationships/image" Target="media/image8.wmf"/><Relationship Id="rId289" Type="http://schemas.openxmlformats.org/officeDocument/2006/relationships/oleObject" Target="embeddings/oleObject145.bin"/><Relationship Id="rId288" Type="http://schemas.openxmlformats.org/officeDocument/2006/relationships/oleObject" Target="embeddings/oleObject144.bin"/><Relationship Id="rId287" Type="http://schemas.openxmlformats.org/officeDocument/2006/relationships/image" Target="media/image129.wmf"/><Relationship Id="rId286" Type="http://schemas.openxmlformats.org/officeDocument/2006/relationships/oleObject" Target="embeddings/oleObject143.bin"/><Relationship Id="rId285" Type="http://schemas.openxmlformats.org/officeDocument/2006/relationships/oleObject" Target="embeddings/oleObject142.bin"/><Relationship Id="rId284" Type="http://schemas.openxmlformats.org/officeDocument/2006/relationships/oleObject" Target="embeddings/oleObject141.bin"/><Relationship Id="rId283" Type="http://schemas.openxmlformats.org/officeDocument/2006/relationships/image" Target="media/image128.wmf"/><Relationship Id="rId282" Type="http://schemas.openxmlformats.org/officeDocument/2006/relationships/oleObject" Target="embeddings/oleObject140.bin"/><Relationship Id="rId281" Type="http://schemas.openxmlformats.org/officeDocument/2006/relationships/oleObject" Target="embeddings/oleObject139.bin"/><Relationship Id="rId280" Type="http://schemas.openxmlformats.org/officeDocument/2006/relationships/image" Target="media/image127.wmf"/><Relationship Id="rId28" Type="http://schemas.openxmlformats.org/officeDocument/2006/relationships/oleObject" Target="embeddings/oleObject6.bin"/><Relationship Id="rId279" Type="http://schemas.openxmlformats.org/officeDocument/2006/relationships/oleObject" Target="embeddings/oleObject138.bin"/><Relationship Id="rId278" Type="http://schemas.openxmlformats.org/officeDocument/2006/relationships/oleObject" Target="embeddings/oleObject137.bin"/><Relationship Id="rId277" Type="http://schemas.openxmlformats.org/officeDocument/2006/relationships/oleObject" Target="embeddings/oleObject136.bin"/><Relationship Id="rId276" Type="http://schemas.openxmlformats.org/officeDocument/2006/relationships/image" Target="media/image126.wmf"/><Relationship Id="rId275" Type="http://schemas.openxmlformats.org/officeDocument/2006/relationships/oleObject" Target="embeddings/oleObject135.bin"/><Relationship Id="rId274" Type="http://schemas.openxmlformats.org/officeDocument/2006/relationships/image" Target="media/image125.wmf"/><Relationship Id="rId273" Type="http://schemas.openxmlformats.org/officeDocument/2006/relationships/oleObject" Target="embeddings/oleObject134.bin"/><Relationship Id="rId272" Type="http://schemas.openxmlformats.org/officeDocument/2006/relationships/image" Target="media/image124.wmf"/><Relationship Id="rId271" Type="http://schemas.openxmlformats.org/officeDocument/2006/relationships/oleObject" Target="embeddings/oleObject133.bin"/><Relationship Id="rId270" Type="http://schemas.openxmlformats.org/officeDocument/2006/relationships/image" Target="media/image123.wmf"/><Relationship Id="rId27" Type="http://schemas.openxmlformats.org/officeDocument/2006/relationships/image" Target="media/image7.wmf"/><Relationship Id="rId269" Type="http://schemas.openxmlformats.org/officeDocument/2006/relationships/oleObject" Target="embeddings/oleObject132.bin"/><Relationship Id="rId268" Type="http://schemas.openxmlformats.org/officeDocument/2006/relationships/oleObject" Target="embeddings/oleObject131.bin"/><Relationship Id="rId267" Type="http://schemas.openxmlformats.org/officeDocument/2006/relationships/image" Target="media/image122.wmf"/><Relationship Id="rId266" Type="http://schemas.openxmlformats.org/officeDocument/2006/relationships/oleObject" Target="embeddings/oleObject130.bin"/><Relationship Id="rId265" Type="http://schemas.openxmlformats.org/officeDocument/2006/relationships/oleObject" Target="embeddings/oleObject129.bin"/><Relationship Id="rId264" Type="http://schemas.openxmlformats.org/officeDocument/2006/relationships/oleObject" Target="embeddings/oleObject128.bin"/><Relationship Id="rId263" Type="http://schemas.openxmlformats.org/officeDocument/2006/relationships/image" Target="media/image121.wmf"/><Relationship Id="rId262" Type="http://schemas.openxmlformats.org/officeDocument/2006/relationships/oleObject" Target="embeddings/oleObject127.bin"/><Relationship Id="rId261" Type="http://schemas.openxmlformats.org/officeDocument/2006/relationships/image" Target="media/image120.wmf"/><Relationship Id="rId260" Type="http://schemas.openxmlformats.org/officeDocument/2006/relationships/oleObject" Target="embeddings/oleObject126.bin"/><Relationship Id="rId26" Type="http://schemas.openxmlformats.org/officeDocument/2006/relationships/oleObject" Target="embeddings/oleObject5.bin"/><Relationship Id="rId259" Type="http://schemas.openxmlformats.org/officeDocument/2006/relationships/oleObject" Target="embeddings/oleObject125.bin"/><Relationship Id="rId258" Type="http://schemas.openxmlformats.org/officeDocument/2006/relationships/image" Target="media/image119.wmf"/><Relationship Id="rId257" Type="http://schemas.openxmlformats.org/officeDocument/2006/relationships/oleObject" Target="embeddings/oleObject124.bin"/><Relationship Id="rId256" Type="http://schemas.openxmlformats.org/officeDocument/2006/relationships/image" Target="media/image118.wmf"/><Relationship Id="rId255" Type="http://schemas.openxmlformats.org/officeDocument/2006/relationships/oleObject" Target="embeddings/oleObject123.bin"/><Relationship Id="rId254" Type="http://schemas.openxmlformats.org/officeDocument/2006/relationships/image" Target="media/image117.wmf"/><Relationship Id="rId253" Type="http://schemas.openxmlformats.org/officeDocument/2006/relationships/oleObject" Target="embeddings/oleObject122.bin"/><Relationship Id="rId252" Type="http://schemas.openxmlformats.org/officeDocument/2006/relationships/image" Target="media/image116.wmf"/><Relationship Id="rId251" Type="http://schemas.openxmlformats.org/officeDocument/2006/relationships/oleObject" Target="embeddings/oleObject121.bin"/><Relationship Id="rId250" Type="http://schemas.openxmlformats.org/officeDocument/2006/relationships/image" Target="media/image115.wmf"/><Relationship Id="rId25" Type="http://schemas.openxmlformats.org/officeDocument/2006/relationships/image" Target="media/image6.wmf"/><Relationship Id="rId249" Type="http://schemas.openxmlformats.org/officeDocument/2006/relationships/oleObject" Target="embeddings/oleObject120.bin"/><Relationship Id="rId248" Type="http://schemas.openxmlformats.org/officeDocument/2006/relationships/image" Target="media/image114.wmf"/><Relationship Id="rId247" Type="http://schemas.openxmlformats.org/officeDocument/2006/relationships/oleObject" Target="embeddings/oleObject119.bin"/><Relationship Id="rId246" Type="http://schemas.openxmlformats.org/officeDocument/2006/relationships/oleObject" Target="embeddings/oleObject118.bin"/><Relationship Id="rId245" Type="http://schemas.openxmlformats.org/officeDocument/2006/relationships/image" Target="media/image113.wmf"/><Relationship Id="rId244" Type="http://schemas.openxmlformats.org/officeDocument/2006/relationships/oleObject" Target="embeddings/oleObject117.bin"/><Relationship Id="rId243" Type="http://schemas.openxmlformats.org/officeDocument/2006/relationships/oleObject" Target="embeddings/oleObject116.bin"/><Relationship Id="rId242" Type="http://schemas.openxmlformats.org/officeDocument/2006/relationships/oleObject" Target="embeddings/oleObject115.bin"/><Relationship Id="rId241" Type="http://schemas.openxmlformats.org/officeDocument/2006/relationships/image" Target="media/image112.wmf"/><Relationship Id="rId240" Type="http://schemas.openxmlformats.org/officeDocument/2006/relationships/oleObject" Target="embeddings/oleObject114.bin"/><Relationship Id="rId24" Type="http://schemas.openxmlformats.org/officeDocument/2006/relationships/oleObject" Target="embeddings/oleObject4.bin"/><Relationship Id="rId239" Type="http://schemas.openxmlformats.org/officeDocument/2006/relationships/oleObject" Target="embeddings/oleObject113.bin"/><Relationship Id="rId238" Type="http://schemas.openxmlformats.org/officeDocument/2006/relationships/image" Target="media/image111.wmf"/><Relationship Id="rId237" Type="http://schemas.openxmlformats.org/officeDocument/2006/relationships/oleObject" Target="embeddings/oleObject112.bin"/><Relationship Id="rId236" Type="http://schemas.openxmlformats.org/officeDocument/2006/relationships/image" Target="media/image110.wmf"/><Relationship Id="rId235" Type="http://schemas.openxmlformats.org/officeDocument/2006/relationships/oleObject" Target="embeddings/oleObject111.bin"/><Relationship Id="rId234" Type="http://schemas.openxmlformats.org/officeDocument/2006/relationships/image" Target="media/image109.wmf"/><Relationship Id="rId233" Type="http://schemas.openxmlformats.org/officeDocument/2006/relationships/oleObject" Target="embeddings/oleObject110.bin"/><Relationship Id="rId232" Type="http://schemas.openxmlformats.org/officeDocument/2006/relationships/image" Target="media/image108.wmf"/><Relationship Id="rId231" Type="http://schemas.openxmlformats.org/officeDocument/2006/relationships/oleObject" Target="embeddings/oleObject109.bin"/><Relationship Id="rId230" Type="http://schemas.openxmlformats.org/officeDocument/2006/relationships/image" Target="media/image107.wmf"/><Relationship Id="rId23" Type="http://schemas.openxmlformats.org/officeDocument/2006/relationships/image" Target="media/image5.emf"/><Relationship Id="rId229" Type="http://schemas.openxmlformats.org/officeDocument/2006/relationships/oleObject" Target="embeddings/oleObject108.bin"/><Relationship Id="rId228" Type="http://schemas.openxmlformats.org/officeDocument/2006/relationships/image" Target="media/image106.wmf"/><Relationship Id="rId227" Type="http://schemas.openxmlformats.org/officeDocument/2006/relationships/oleObject" Target="embeddings/oleObject107.bin"/><Relationship Id="rId226" Type="http://schemas.openxmlformats.org/officeDocument/2006/relationships/image" Target="media/image105.wmf"/><Relationship Id="rId225" Type="http://schemas.openxmlformats.org/officeDocument/2006/relationships/oleObject" Target="embeddings/oleObject106.bin"/><Relationship Id="rId224" Type="http://schemas.openxmlformats.org/officeDocument/2006/relationships/image" Target="media/image104.wmf"/><Relationship Id="rId223" Type="http://schemas.openxmlformats.org/officeDocument/2006/relationships/oleObject" Target="embeddings/oleObject105.bin"/><Relationship Id="rId222" Type="http://schemas.openxmlformats.org/officeDocument/2006/relationships/image" Target="media/image103.wmf"/><Relationship Id="rId221" Type="http://schemas.openxmlformats.org/officeDocument/2006/relationships/oleObject" Target="embeddings/oleObject104.bin"/><Relationship Id="rId220" Type="http://schemas.openxmlformats.org/officeDocument/2006/relationships/image" Target="media/image102.wmf"/><Relationship Id="rId22" Type="http://schemas.openxmlformats.org/officeDocument/2006/relationships/image" Target="media/image4.wmf"/><Relationship Id="rId219" Type="http://schemas.openxmlformats.org/officeDocument/2006/relationships/oleObject" Target="embeddings/oleObject103.bin"/><Relationship Id="rId218" Type="http://schemas.openxmlformats.org/officeDocument/2006/relationships/image" Target="media/image101.wmf"/><Relationship Id="rId217" Type="http://schemas.openxmlformats.org/officeDocument/2006/relationships/oleObject" Target="embeddings/oleObject102.bin"/><Relationship Id="rId216" Type="http://schemas.openxmlformats.org/officeDocument/2006/relationships/oleObject" Target="embeddings/oleObject101.bin"/><Relationship Id="rId215" Type="http://schemas.openxmlformats.org/officeDocument/2006/relationships/image" Target="media/image100.wmf"/><Relationship Id="rId214" Type="http://schemas.openxmlformats.org/officeDocument/2006/relationships/oleObject" Target="embeddings/oleObject100.bin"/><Relationship Id="rId213" Type="http://schemas.openxmlformats.org/officeDocument/2006/relationships/oleObject" Target="embeddings/oleObject99.bin"/><Relationship Id="rId212" Type="http://schemas.openxmlformats.org/officeDocument/2006/relationships/oleObject" Target="embeddings/oleObject98.bin"/><Relationship Id="rId211" Type="http://schemas.openxmlformats.org/officeDocument/2006/relationships/oleObject" Target="embeddings/oleObject97.bin"/><Relationship Id="rId210" Type="http://schemas.openxmlformats.org/officeDocument/2006/relationships/oleObject" Target="embeddings/oleObject96.bin"/><Relationship Id="rId21" Type="http://schemas.openxmlformats.org/officeDocument/2006/relationships/oleObject" Target="embeddings/oleObject3.bin"/><Relationship Id="rId209" Type="http://schemas.openxmlformats.org/officeDocument/2006/relationships/image" Target="media/image99.wmf"/><Relationship Id="rId208" Type="http://schemas.openxmlformats.org/officeDocument/2006/relationships/oleObject" Target="embeddings/oleObject95.bin"/><Relationship Id="rId207" Type="http://schemas.openxmlformats.org/officeDocument/2006/relationships/oleObject" Target="embeddings/oleObject94.bin"/><Relationship Id="rId206" Type="http://schemas.openxmlformats.org/officeDocument/2006/relationships/image" Target="media/image98.wmf"/><Relationship Id="rId205" Type="http://schemas.openxmlformats.org/officeDocument/2006/relationships/oleObject" Target="embeddings/oleObject93.bin"/><Relationship Id="rId204" Type="http://schemas.openxmlformats.org/officeDocument/2006/relationships/image" Target="media/image97.wmf"/><Relationship Id="rId203" Type="http://schemas.openxmlformats.org/officeDocument/2006/relationships/oleObject" Target="embeddings/oleObject92.bin"/><Relationship Id="rId202" Type="http://schemas.openxmlformats.org/officeDocument/2006/relationships/image" Target="media/image96.wmf"/><Relationship Id="rId201" Type="http://schemas.openxmlformats.org/officeDocument/2006/relationships/oleObject" Target="embeddings/oleObject91.bin"/><Relationship Id="rId200" Type="http://schemas.openxmlformats.org/officeDocument/2006/relationships/image" Target="media/image95.wmf"/><Relationship Id="rId20" Type="http://schemas.openxmlformats.org/officeDocument/2006/relationships/image" Target="media/image3.wmf"/><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94.wmf"/><Relationship Id="rId197" Type="http://schemas.openxmlformats.org/officeDocument/2006/relationships/oleObject" Target="embeddings/oleObject89.bin"/><Relationship Id="rId196" Type="http://schemas.openxmlformats.org/officeDocument/2006/relationships/image" Target="media/image93.wmf"/><Relationship Id="rId195" Type="http://schemas.openxmlformats.org/officeDocument/2006/relationships/oleObject" Target="embeddings/oleObject88.bin"/><Relationship Id="rId194" Type="http://schemas.openxmlformats.org/officeDocument/2006/relationships/oleObject" Target="embeddings/oleObject87.bin"/><Relationship Id="rId193" Type="http://schemas.openxmlformats.org/officeDocument/2006/relationships/image" Target="media/image92.wmf"/><Relationship Id="rId192" Type="http://schemas.openxmlformats.org/officeDocument/2006/relationships/oleObject" Target="embeddings/oleObject86.bin"/><Relationship Id="rId191" Type="http://schemas.openxmlformats.org/officeDocument/2006/relationships/image" Target="media/image91.wmf"/><Relationship Id="rId190" Type="http://schemas.openxmlformats.org/officeDocument/2006/relationships/oleObject" Target="embeddings/oleObject85.bin"/><Relationship Id="rId19" Type="http://schemas.openxmlformats.org/officeDocument/2006/relationships/oleObject" Target="embeddings/oleObject2.bin"/><Relationship Id="rId189" Type="http://schemas.openxmlformats.org/officeDocument/2006/relationships/image" Target="media/image90.wmf"/><Relationship Id="rId188" Type="http://schemas.openxmlformats.org/officeDocument/2006/relationships/oleObject" Target="embeddings/oleObject84.bin"/><Relationship Id="rId187" Type="http://schemas.openxmlformats.org/officeDocument/2006/relationships/image" Target="media/image89.wmf"/><Relationship Id="rId186" Type="http://schemas.openxmlformats.org/officeDocument/2006/relationships/oleObject" Target="embeddings/oleObject83.bin"/><Relationship Id="rId185" Type="http://schemas.openxmlformats.org/officeDocument/2006/relationships/image" Target="media/image88.wmf"/><Relationship Id="rId184" Type="http://schemas.openxmlformats.org/officeDocument/2006/relationships/oleObject" Target="embeddings/oleObject82.bin"/><Relationship Id="rId183" Type="http://schemas.openxmlformats.org/officeDocument/2006/relationships/image" Target="media/image87.wmf"/><Relationship Id="rId182" Type="http://schemas.openxmlformats.org/officeDocument/2006/relationships/oleObject" Target="embeddings/oleObject81.bin"/><Relationship Id="rId181" Type="http://schemas.openxmlformats.org/officeDocument/2006/relationships/image" Target="media/image86.wmf"/><Relationship Id="rId180" Type="http://schemas.openxmlformats.org/officeDocument/2006/relationships/oleObject" Target="embeddings/oleObject80.bin"/><Relationship Id="rId18" Type="http://schemas.openxmlformats.org/officeDocument/2006/relationships/image" Target="media/image2.wmf"/><Relationship Id="rId179" Type="http://schemas.openxmlformats.org/officeDocument/2006/relationships/image" Target="media/image85.wmf"/><Relationship Id="rId178" Type="http://schemas.openxmlformats.org/officeDocument/2006/relationships/oleObject" Target="embeddings/oleObject79.bin"/><Relationship Id="rId177" Type="http://schemas.openxmlformats.org/officeDocument/2006/relationships/image" Target="media/image84.wmf"/><Relationship Id="rId176" Type="http://schemas.openxmlformats.org/officeDocument/2006/relationships/oleObject" Target="embeddings/oleObject78.bin"/><Relationship Id="rId175" Type="http://schemas.openxmlformats.org/officeDocument/2006/relationships/image" Target="media/image83.wmf"/><Relationship Id="rId174" Type="http://schemas.openxmlformats.org/officeDocument/2006/relationships/oleObject" Target="embeddings/oleObject77.bin"/><Relationship Id="rId173" Type="http://schemas.openxmlformats.org/officeDocument/2006/relationships/image" Target="media/image82.wmf"/><Relationship Id="rId172" Type="http://schemas.openxmlformats.org/officeDocument/2006/relationships/oleObject" Target="embeddings/oleObject76.bin"/><Relationship Id="rId171" Type="http://schemas.openxmlformats.org/officeDocument/2006/relationships/image" Target="media/image81.wmf"/><Relationship Id="rId170" Type="http://schemas.openxmlformats.org/officeDocument/2006/relationships/oleObject" Target="embeddings/oleObject75.bin"/><Relationship Id="rId17" Type="http://schemas.openxmlformats.org/officeDocument/2006/relationships/oleObject" Target="embeddings/oleObject1.bin"/><Relationship Id="rId169" Type="http://schemas.openxmlformats.org/officeDocument/2006/relationships/image" Target="media/image80.wmf"/><Relationship Id="rId168" Type="http://schemas.openxmlformats.org/officeDocument/2006/relationships/oleObject" Target="embeddings/oleObject74.bin"/><Relationship Id="rId167" Type="http://schemas.openxmlformats.org/officeDocument/2006/relationships/image" Target="media/image79.wmf"/><Relationship Id="rId166" Type="http://schemas.openxmlformats.org/officeDocument/2006/relationships/oleObject" Target="embeddings/oleObject73.bin"/><Relationship Id="rId165" Type="http://schemas.openxmlformats.org/officeDocument/2006/relationships/image" Target="media/image78.wmf"/><Relationship Id="rId164" Type="http://schemas.openxmlformats.org/officeDocument/2006/relationships/oleObject" Target="embeddings/oleObject72.bin"/><Relationship Id="rId163" Type="http://schemas.openxmlformats.org/officeDocument/2006/relationships/image" Target="media/image77.wmf"/><Relationship Id="rId162" Type="http://schemas.openxmlformats.org/officeDocument/2006/relationships/oleObject" Target="embeddings/oleObject71.bin"/><Relationship Id="rId161" Type="http://schemas.openxmlformats.org/officeDocument/2006/relationships/image" Target="media/image76.wmf"/><Relationship Id="rId160" Type="http://schemas.openxmlformats.org/officeDocument/2006/relationships/oleObject" Target="embeddings/oleObject70.bin"/><Relationship Id="rId16" Type="http://schemas.openxmlformats.org/officeDocument/2006/relationships/image" Target="media/image1.png"/><Relationship Id="rId159" Type="http://schemas.openxmlformats.org/officeDocument/2006/relationships/oleObject" Target="embeddings/oleObject69.bin"/><Relationship Id="rId158" Type="http://schemas.openxmlformats.org/officeDocument/2006/relationships/oleObject" Target="embeddings/oleObject68.bin"/><Relationship Id="rId157" Type="http://schemas.openxmlformats.org/officeDocument/2006/relationships/oleObject" Target="embeddings/oleObject67.bin"/><Relationship Id="rId156" Type="http://schemas.openxmlformats.org/officeDocument/2006/relationships/image" Target="media/image75.wmf"/><Relationship Id="rId155" Type="http://schemas.openxmlformats.org/officeDocument/2006/relationships/oleObject" Target="embeddings/oleObject66.bin"/><Relationship Id="rId154" Type="http://schemas.openxmlformats.org/officeDocument/2006/relationships/image" Target="media/image74.wmf"/><Relationship Id="rId153" Type="http://schemas.openxmlformats.org/officeDocument/2006/relationships/oleObject" Target="embeddings/oleObject65.bin"/><Relationship Id="rId152" Type="http://schemas.openxmlformats.org/officeDocument/2006/relationships/oleObject" Target="embeddings/oleObject64.bin"/><Relationship Id="rId151" Type="http://schemas.openxmlformats.org/officeDocument/2006/relationships/oleObject" Target="embeddings/oleObject63.bin"/><Relationship Id="rId150" Type="http://schemas.openxmlformats.org/officeDocument/2006/relationships/oleObject" Target="embeddings/oleObject62.bin"/><Relationship Id="rId15" Type="http://schemas.openxmlformats.org/officeDocument/2006/relationships/theme" Target="theme/theme1.xml"/><Relationship Id="rId149" Type="http://schemas.openxmlformats.org/officeDocument/2006/relationships/image" Target="media/image73.wmf"/><Relationship Id="rId148" Type="http://schemas.openxmlformats.org/officeDocument/2006/relationships/oleObject" Target="embeddings/oleObject61.bin"/><Relationship Id="rId147" Type="http://schemas.openxmlformats.org/officeDocument/2006/relationships/image" Target="media/image72.wmf"/><Relationship Id="rId146" Type="http://schemas.openxmlformats.org/officeDocument/2006/relationships/oleObject" Target="embeddings/oleObject60.bin"/><Relationship Id="rId145" Type="http://schemas.openxmlformats.org/officeDocument/2006/relationships/oleObject" Target="embeddings/oleObject59.bin"/><Relationship Id="rId144" Type="http://schemas.openxmlformats.org/officeDocument/2006/relationships/oleObject" Target="embeddings/oleObject58.bin"/><Relationship Id="rId143" Type="http://schemas.openxmlformats.org/officeDocument/2006/relationships/oleObject" Target="embeddings/oleObject57.bin"/><Relationship Id="rId142" Type="http://schemas.openxmlformats.org/officeDocument/2006/relationships/image" Target="media/image71.wmf"/><Relationship Id="rId141" Type="http://schemas.openxmlformats.org/officeDocument/2006/relationships/oleObject" Target="embeddings/oleObject56.bin"/><Relationship Id="rId140" Type="http://schemas.openxmlformats.org/officeDocument/2006/relationships/image" Target="media/image70.wmf"/><Relationship Id="rId14" Type="http://schemas.openxmlformats.org/officeDocument/2006/relationships/footer" Target="footer5.xml"/><Relationship Id="rId139" Type="http://schemas.openxmlformats.org/officeDocument/2006/relationships/oleObject" Target="embeddings/oleObject55.bin"/><Relationship Id="rId138" Type="http://schemas.openxmlformats.org/officeDocument/2006/relationships/image" Target="media/image69.wmf"/><Relationship Id="rId137" Type="http://schemas.openxmlformats.org/officeDocument/2006/relationships/oleObject" Target="embeddings/oleObject54.bin"/><Relationship Id="rId136" Type="http://schemas.openxmlformats.org/officeDocument/2006/relationships/image" Target="media/image68.wmf"/><Relationship Id="rId135" Type="http://schemas.openxmlformats.org/officeDocument/2006/relationships/oleObject" Target="embeddings/oleObject53.bin"/><Relationship Id="rId134" Type="http://schemas.openxmlformats.org/officeDocument/2006/relationships/oleObject" Target="embeddings/oleObject52.bin"/><Relationship Id="rId133" Type="http://schemas.openxmlformats.org/officeDocument/2006/relationships/image" Target="media/image67.wmf"/><Relationship Id="rId132" Type="http://schemas.openxmlformats.org/officeDocument/2006/relationships/oleObject" Target="embeddings/oleObject51.bin"/><Relationship Id="rId131" Type="http://schemas.openxmlformats.org/officeDocument/2006/relationships/image" Target="media/image66.wmf"/><Relationship Id="rId130" Type="http://schemas.openxmlformats.org/officeDocument/2006/relationships/oleObject" Target="embeddings/oleObject50.bin"/><Relationship Id="rId13" Type="http://schemas.openxmlformats.org/officeDocument/2006/relationships/footer" Target="footer4.xml"/><Relationship Id="rId129" Type="http://schemas.openxmlformats.org/officeDocument/2006/relationships/image" Target="media/image65.wmf"/><Relationship Id="rId128" Type="http://schemas.openxmlformats.org/officeDocument/2006/relationships/oleObject" Target="embeddings/oleObject49.bin"/><Relationship Id="rId127" Type="http://schemas.openxmlformats.org/officeDocument/2006/relationships/image" Target="media/image64.wmf"/><Relationship Id="rId126" Type="http://schemas.openxmlformats.org/officeDocument/2006/relationships/oleObject" Target="embeddings/oleObject48.bin"/><Relationship Id="rId125" Type="http://schemas.openxmlformats.org/officeDocument/2006/relationships/image" Target="media/image63.wmf"/><Relationship Id="rId124" Type="http://schemas.openxmlformats.org/officeDocument/2006/relationships/oleObject" Target="embeddings/oleObject47.bin"/><Relationship Id="rId123" Type="http://schemas.openxmlformats.org/officeDocument/2006/relationships/image" Target="media/image62.wmf"/><Relationship Id="rId122" Type="http://schemas.openxmlformats.org/officeDocument/2006/relationships/oleObject" Target="embeddings/oleObject46.bin"/><Relationship Id="rId121" Type="http://schemas.openxmlformats.org/officeDocument/2006/relationships/image" Target="media/image61.wmf"/><Relationship Id="rId120" Type="http://schemas.openxmlformats.org/officeDocument/2006/relationships/oleObject" Target="embeddings/oleObject45.bin"/><Relationship Id="rId12" Type="http://schemas.openxmlformats.org/officeDocument/2006/relationships/header" Target="header5.xml"/><Relationship Id="rId119" Type="http://schemas.openxmlformats.org/officeDocument/2006/relationships/image" Target="media/image60.wmf"/><Relationship Id="rId118" Type="http://schemas.openxmlformats.org/officeDocument/2006/relationships/oleObject" Target="embeddings/oleObject44.bin"/><Relationship Id="rId117" Type="http://schemas.openxmlformats.org/officeDocument/2006/relationships/image" Target="media/image59.wmf"/><Relationship Id="rId116" Type="http://schemas.openxmlformats.org/officeDocument/2006/relationships/oleObject" Target="embeddings/oleObject43.bin"/><Relationship Id="rId115" Type="http://schemas.openxmlformats.org/officeDocument/2006/relationships/image" Target="media/image58.wmf"/><Relationship Id="rId114" Type="http://schemas.openxmlformats.org/officeDocument/2006/relationships/oleObject" Target="embeddings/oleObject42.bin"/><Relationship Id="rId113" Type="http://schemas.openxmlformats.org/officeDocument/2006/relationships/image" Target="media/image57.wmf"/><Relationship Id="rId112" Type="http://schemas.openxmlformats.org/officeDocument/2006/relationships/oleObject" Target="embeddings/oleObject41.bin"/><Relationship Id="rId111" Type="http://schemas.openxmlformats.org/officeDocument/2006/relationships/image" Target="media/image56.wmf"/><Relationship Id="rId110" Type="http://schemas.openxmlformats.org/officeDocument/2006/relationships/oleObject" Target="embeddings/oleObject40.bin"/><Relationship Id="rId11" Type="http://schemas.openxmlformats.org/officeDocument/2006/relationships/header" Target="header4.xml"/><Relationship Id="rId109" Type="http://schemas.openxmlformats.org/officeDocument/2006/relationships/image" Target="media/image55.wmf"/><Relationship Id="rId108" Type="http://schemas.openxmlformats.org/officeDocument/2006/relationships/oleObject" Target="embeddings/oleObject39.bin"/><Relationship Id="rId107" Type="http://schemas.openxmlformats.org/officeDocument/2006/relationships/image" Target="media/image54.wmf"/><Relationship Id="rId106" Type="http://schemas.openxmlformats.org/officeDocument/2006/relationships/oleObject" Target="embeddings/oleObject38.bin"/><Relationship Id="rId105" Type="http://schemas.openxmlformats.org/officeDocument/2006/relationships/image" Target="media/image53.jpeg"/><Relationship Id="rId104" Type="http://schemas.openxmlformats.org/officeDocument/2006/relationships/image" Target="media/image52.wmf"/><Relationship Id="rId103" Type="http://schemas.openxmlformats.org/officeDocument/2006/relationships/oleObject" Target="embeddings/oleObject37.bin"/><Relationship Id="rId102" Type="http://schemas.openxmlformats.org/officeDocument/2006/relationships/image" Target="media/image51.wmf"/><Relationship Id="rId101" Type="http://schemas.openxmlformats.org/officeDocument/2006/relationships/oleObject" Target="embeddings/oleObject36.bin"/><Relationship Id="rId100" Type="http://schemas.openxmlformats.org/officeDocument/2006/relationships/image" Target="media/image5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72</Pages>
  <Words>10180</Words>
  <Characters>58029</Characters>
  <Lines>483</Lines>
  <Paragraphs>136</Paragraphs>
  <TotalTime>379</TotalTime>
  <ScaleCrop>false</ScaleCrop>
  <LinksUpToDate>false</LinksUpToDate>
  <CharactersWithSpaces>68073</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2024-12-31T14:53:00Z</dcterms:created>
  <dc:creator>操佳伟</dc:creator>
  <cp:lastModifiedBy>user</cp:lastModifiedBy>
  <cp:lastPrinted>2024-12-26T11:19:00Z</cp:lastPrinted>
  <dcterms:modified xsi:type="dcterms:W3CDTF">2025-01-09T09:45:00Z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A1D47EC9035D445AA3367AB04B12DE67_13</vt:lpwstr>
  </property>
  <property fmtid="{D5CDD505-2E9C-101B-9397-08002B2CF9AE}" pid="4" name="KSOTemplateDocerSaveRecord">
    <vt:lpwstr>eyJoZGlkIjoiOTdlOTUxZjJmNWNmYTkyNDI3NWJiY2IxNWQ0ODI3ODAifQ==</vt:lpwstr>
  </property>
</Properties>
</file>